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F4" w:rsidRDefault="005F35A5">
      <w:pPr>
        <w:ind w:firstLine="0"/>
        <w:jc w:val="left"/>
      </w:pPr>
      <w:r>
        <w:rPr>
          <w:rFonts w:hint="eastAsia"/>
        </w:rPr>
        <w:t>附件</w:t>
      </w:r>
      <w:r w:rsidR="00EB4FE5">
        <w:t>1</w:t>
      </w:r>
      <w:bookmarkStart w:id="0" w:name="_GoBack"/>
      <w:bookmarkEnd w:id="0"/>
    </w:p>
    <w:tbl>
      <w:tblPr>
        <w:tblStyle w:val="a6"/>
        <w:tblW w:w="8306" w:type="dxa"/>
        <w:tblBorders>
          <w:top w:val="none" w:sz="0" w:space="0" w:color="auto"/>
          <w:left w:val="none" w:sz="0" w:space="0" w:color="auto"/>
          <w:bottom w:val="none" w:sz="0" w:space="0" w:color="auto"/>
          <w:right w:val="none" w:sz="0" w:space="0" w:color="auto"/>
        </w:tblBorders>
        <w:tblLayout w:type="fixed"/>
        <w:tblLook w:val="04A0"/>
      </w:tblPr>
      <w:tblGrid>
        <w:gridCol w:w="8306"/>
      </w:tblGrid>
      <w:tr w:rsidR="00527DF4">
        <w:tc>
          <w:tcPr>
            <w:tcW w:w="8306" w:type="dxa"/>
            <w:tcBorders>
              <w:top w:val="nil"/>
              <w:bottom w:val="nil"/>
            </w:tcBorders>
          </w:tcPr>
          <w:p w:rsidR="00527DF4" w:rsidRDefault="005F35A5">
            <w:pPr>
              <w:pBdr>
                <w:top w:val="none" w:sz="0" w:space="0" w:color="000000"/>
                <w:left w:val="none" w:sz="0" w:space="0" w:color="000000"/>
                <w:bottom w:val="none" w:sz="0" w:space="0" w:color="000000"/>
                <w:right w:val="none" w:sz="0" w:space="0" w:color="000000"/>
              </w:pBdr>
              <w:spacing w:line="460" w:lineRule="exact"/>
              <w:ind w:firstLine="0"/>
              <w:jc w:val="center"/>
              <w:rPr>
                <w:rFonts w:ascii="黑体" w:eastAsia="黑体" w:hAnsi="黑体"/>
                <w:bCs/>
                <w:snapToGrid/>
                <w:color w:val="000000"/>
                <w:sz w:val="36"/>
                <w:szCs w:val="36"/>
                <w:u w:color="000000"/>
              </w:rPr>
            </w:pPr>
            <w:r>
              <w:rPr>
                <w:rFonts w:ascii="黑体" w:eastAsia="黑体" w:hAnsi="黑体" w:hint="eastAsia"/>
                <w:bCs/>
                <w:snapToGrid/>
                <w:color w:val="000000"/>
                <w:sz w:val="36"/>
                <w:szCs w:val="36"/>
                <w:u w:color="000000"/>
              </w:rPr>
              <w:t>上海黄金交易所集中定价交易细则</w:t>
            </w:r>
          </w:p>
          <w:p w:rsidR="00527DF4" w:rsidRDefault="005F35A5">
            <w:pPr>
              <w:pBdr>
                <w:top w:val="none" w:sz="0" w:space="0" w:color="000000"/>
                <w:left w:val="none" w:sz="0" w:space="0" w:color="000000"/>
                <w:bottom w:val="none" w:sz="0" w:space="0" w:color="000000"/>
                <w:right w:val="none" w:sz="0" w:space="0" w:color="000000"/>
              </w:pBdr>
              <w:spacing w:line="460" w:lineRule="exact"/>
              <w:ind w:firstLine="0"/>
              <w:jc w:val="center"/>
              <w:rPr>
                <w:rFonts w:ascii="黑体" w:eastAsia="黑体" w:hAnsi="黑体"/>
                <w:bCs/>
                <w:snapToGrid/>
                <w:color w:val="000000"/>
                <w:sz w:val="36"/>
                <w:szCs w:val="36"/>
                <w:u w:color="000000"/>
              </w:rPr>
            </w:pPr>
            <w:r>
              <w:rPr>
                <w:rFonts w:ascii="黑体" w:eastAsia="黑体" w:hAnsi="黑体"/>
                <w:bCs/>
                <w:snapToGrid/>
                <w:color w:val="000000"/>
                <w:sz w:val="36"/>
                <w:szCs w:val="36"/>
                <w:u w:color="000000"/>
              </w:rPr>
              <w:t>(</w:t>
            </w:r>
            <w:r>
              <w:rPr>
                <w:rFonts w:ascii="黑体" w:eastAsia="黑体" w:hAnsi="黑体" w:hint="eastAsia"/>
                <w:bCs/>
                <w:snapToGrid/>
                <w:color w:val="000000"/>
                <w:sz w:val="36"/>
                <w:szCs w:val="36"/>
                <w:u w:color="000000"/>
              </w:rPr>
              <w:t>修订稿</w:t>
            </w:r>
            <w:r>
              <w:rPr>
                <w:rFonts w:ascii="黑体" w:eastAsia="黑体" w:hAnsi="黑体"/>
                <w:bCs/>
                <w:snapToGrid/>
                <w:color w:val="000000"/>
                <w:sz w:val="36"/>
                <w:szCs w:val="36"/>
                <w:u w:color="000000"/>
              </w:rPr>
              <w:t>)</w:t>
            </w:r>
          </w:p>
          <w:p w:rsidR="00527DF4" w:rsidRDefault="00527DF4">
            <w:pPr>
              <w:pBdr>
                <w:top w:val="none" w:sz="0" w:space="0" w:color="000000"/>
                <w:left w:val="none" w:sz="0" w:space="0" w:color="000000"/>
                <w:bottom w:val="none" w:sz="0" w:space="0" w:color="000000"/>
                <w:right w:val="none" w:sz="0" w:space="0" w:color="000000"/>
              </w:pBdr>
              <w:spacing w:line="460" w:lineRule="exact"/>
              <w:jc w:val="center"/>
              <w:rPr>
                <w:rFonts w:ascii="黑体" w:eastAsia="黑体" w:hAnsi="黑体"/>
                <w:sz w:val="30"/>
                <w:szCs w:val="30"/>
              </w:rPr>
            </w:pPr>
            <w:bookmarkStart w:id="1" w:name="第一章"/>
            <w:bookmarkEnd w:id="1"/>
          </w:p>
          <w:p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b/>
                <w:sz w:val="30"/>
                <w:szCs w:val="30"/>
              </w:rPr>
              <w:t>第一章  总  则</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第一条 为规范上海黄金交易所（以下简称“交易所”）的集中定价交易管理，维护交易各方的合法权益，根据《上海黄金交易所章程》和《上海黄金交易所交易规则》等有关规定制定本细则。</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第二条 交易所遵循公开、公平、公正和诚信的原则，组织定价合约的交易、结算和交割。</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第三条 集中定价交易是指市场参与者在交易所平台上，通过“以价询量、数量匹配”的定价过程，在市场量价平衡时，确定定价合约的人民币基准价，并按基准价成交的</w:t>
            </w:r>
            <w:r>
              <w:rPr>
                <w:bCs/>
                <w:sz w:val="30"/>
                <w:szCs w:val="30"/>
              </w:rPr>
              <w:t>交易</w:t>
            </w:r>
            <w:r>
              <w:rPr>
                <w:rFonts w:hint="eastAsia"/>
                <w:bCs/>
                <w:sz w:val="30"/>
                <w:szCs w:val="30"/>
              </w:rPr>
              <w:t>。</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第四条 交易所的定价合约包括上海金、上海银及其他经中国人民银行批准的定价合约。</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第五条 交易所、会员、客户及相关工作人员在集中定价交易活动中应遵守本细则。</w:t>
            </w:r>
          </w:p>
          <w:p w:rsidR="00527DF4" w:rsidRDefault="00527DF4">
            <w:pPr>
              <w:pBdr>
                <w:top w:val="none" w:sz="0" w:space="0" w:color="000000"/>
                <w:left w:val="none" w:sz="0" w:space="0" w:color="000000"/>
                <w:bottom w:val="none" w:sz="0" w:space="0" w:color="000000"/>
                <w:right w:val="none" w:sz="0" w:space="0" w:color="000000"/>
              </w:pBdr>
              <w:spacing w:line="360" w:lineRule="auto"/>
              <w:jc w:val="center"/>
              <w:rPr>
                <w:bCs/>
                <w:sz w:val="30"/>
                <w:szCs w:val="30"/>
              </w:rPr>
            </w:pPr>
          </w:p>
          <w:p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第二章 参与主体</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第六条 交易所的会员、客户均可参与集中定价交易</w:t>
            </w:r>
            <w:r w:rsidR="00FE60F5">
              <w:rPr>
                <w:rFonts w:hint="eastAsia"/>
                <w:bCs/>
                <w:sz w:val="30"/>
                <w:szCs w:val="30"/>
              </w:rPr>
              <w:t>。</w:t>
            </w:r>
            <w:r>
              <w:rPr>
                <w:rFonts w:hint="eastAsia"/>
                <w:bCs/>
                <w:sz w:val="30"/>
                <w:szCs w:val="30"/>
              </w:rPr>
              <w:t>其中，客户为法人客户，通过会员代理参与集中定价交易。</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第七条 集中定价交易实行定价成员和提供参考价成员制度。</w:t>
            </w:r>
            <w:r>
              <w:rPr>
                <w:rFonts w:hint="eastAsia"/>
                <w:bCs/>
                <w:sz w:val="30"/>
                <w:szCs w:val="30"/>
              </w:rPr>
              <w:br/>
            </w:r>
            <w:r>
              <w:rPr>
                <w:rFonts w:hint="eastAsia"/>
                <w:bCs/>
                <w:sz w:val="30"/>
                <w:szCs w:val="30"/>
              </w:rPr>
              <w:lastRenderedPageBreak/>
              <w:t xml:space="preserve">    定价成员是指在规定时间段内提供相应定价合约参考价，并在一定数量范围内承担平衡合约供求职责的机构。提供参考价成员是指在规定时间段内提供相应定价合约参考价的机构。</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第八条 交易所对定价成员和提供参考价成员资格实行申请制。</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第九条 申请成为定价成员应满足以下条件：</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（一）定价成员应为金融机构或贵金属产业链上的龙头实体企业；</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（二）注册资本不低于</w:t>
            </w:r>
            <w:r>
              <w:rPr>
                <w:bCs/>
                <w:sz w:val="30"/>
                <w:szCs w:val="30"/>
              </w:rPr>
              <w:t>1</w:t>
            </w:r>
            <w:r>
              <w:rPr>
                <w:rFonts w:hint="eastAsia"/>
                <w:bCs/>
                <w:sz w:val="30"/>
                <w:szCs w:val="30"/>
              </w:rPr>
              <w:t>亿元人民币或具有等额净资产；</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（三）具有良好的信誉和经营历史，近三年内无重大违法违规记录；</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（四）有健全的组织机构和账务管理制度及完善的内部控制和风险管理制度；</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（五）在交易所或国内、国际贵金属市场交易活跃，年交易量位居前列；</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（六）在交易所黄金或白银品种的实物交割量排名前列；</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（七）遵守执行</w:t>
            </w:r>
            <w:r>
              <w:rPr>
                <w:bCs/>
                <w:sz w:val="30"/>
                <w:szCs w:val="30"/>
              </w:rPr>
              <w:t>交易所的</w:t>
            </w:r>
            <w:r>
              <w:rPr>
                <w:rFonts w:hint="eastAsia"/>
                <w:bCs/>
                <w:sz w:val="30"/>
                <w:szCs w:val="30"/>
              </w:rPr>
              <w:t>规章</w:t>
            </w:r>
            <w:r>
              <w:rPr>
                <w:bCs/>
                <w:sz w:val="30"/>
                <w:szCs w:val="30"/>
              </w:rPr>
              <w:t>制度</w:t>
            </w:r>
            <w:r>
              <w:rPr>
                <w:rFonts w:hint="eastAsia"/>
                <w:bCs/>
                <w:sz w:val="30"/>
                <w:szCs w:val="30"/>
              </w:rPr>
              <w:t>；</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（八）交易所规定的其它条件。</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第十条 申请定价成员资格的机构需要向交易所提交以下申请材料：</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（一）申请成为定价成员的书面申请；</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（二）加盖单位公章的营业执照复印件；</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（三）经会计师事务所或审计师事务所审计的最近一年的</w:t>
            </w:r>
            <w:r>
              <w:rPr>
                <w:rFonts w:hint="eastAsia"/>
                <w:bCs/>
                <w:sz w:val="30"/>
                <w:szCs w:val="30"/>
              </w:rPr>
              <w:lastRenderedPageBreak/>
              <w:t>年度会计报告；</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（四）申请机构关于相关品种定价业务风险控制的说明材料；</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（五）申请机构近三年无重大违法违规记录的说明材料；</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（六）申请时上一年度在交易所的交易情况报告；</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（七）交易所要求提供的其他材料。</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第十一条 申请成为提供参考价成员应满足以下条件：</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（一）提供参考价成员应为金融机构或贵金属产业链上的龙头实体企业；</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（二）注册资本不低于</w:t>
            </w:r>
            <w:r>
              <w:rPr>
                <w:bCs/>
                <w:sz w:val="30"/>
                <w:szCs w:val="30"/>
              </w:rPr>
              <w:t>5,000</w:t>
            </w:r>
            <w:r>
              <w:rPr>
                <w:rFonts w:hint="eastAsia"/>
                <w:bCs/>
                <w:sz w:val="30"/>
                <w:szCs w:val="30"/>
              </w:rPr>
              <w:t>万元人民币以上或具有等值净资产；</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（三）具有良好的信誉和经营历史，近三年内无重大违法违规行为记录；</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（四）在交易所或国内、国际贵金属市场交易活跃，年交易量位居前列；</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（五）遵守</w:t>
            </w:r>
            <w:r>
              <w:rPr>
                <w:bCs/>
                <w:sz w:val="30"/>
                <w:szCs w:val="30"/>
              </w:rPr>
              <w:t>执行交易所的规章制度；</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（六）交易所规定的其他条件。</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第十二条 申请提供参考价成员资格的机构需要向交易所提交以下申请材料：</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（一）申请成为参考价成员的书面申请；</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（二）加盖单位公章的营业执照复印件；</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（三）经会计师事务所或审计师事务所审计的最近一年的年度会计报告；</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lastRenderedPageBreak/>
              <w:t>（四）申请机构近三年无重大违法违规记录的说明材料；</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（五）申请时上一年度在交易所交易情况的报告；</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（六）交易所要求提供的其他材料。</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第十三条 交易所的定价成员、提供参考价成员有以下义务和权利：</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（一）遵守</w:t>
            </w:r>
            <w:r>
              <w:rPr>
                <w:bCs/>
                <w:sz w:val="30"/>
                <w:szCs w:val="30"/>
              </w:rPr>
              <w:t>交易所的规</w:t>
            </w:r>
            <w:r>
              <w:rPr>
                <w:rFonts w:hint="eastAsia"/>
                <w:bCs/>
                <w:sz w:val="30"/>
                <w:szCs w:val="30"/>
              </w:rPr>
              <w:t>章</w:t>
            </w:r>
            <w:r>
              <w:rPr>
                <w:bCs/>
                <w:sz w:val="30"/>
                <w:szCs w:val="30"/>
              </w:rPr>
              <w:t>制度</w:t>
            </w:r>
            <w:r>
              <w:rPr>
                <w:rFonts w:hint="eastAsia"/>
                <w:bCs/>
                <w:sz w:val="30"/>
                <w:szCs w:val="30"/>
              </w:rPr>
              <w:t>。</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（二）定价成员承担提供相应定价合约参考价和接</w:t>
            </w:r>
            <w:r>
              <w:rPr>
                <w:bCs/>
                <w:sz w:val="30"/>
                <w:szCs w:val="30"/>
              </w:rPr>
              <w:t>受</w:t>
            </w:r>
            <w:r>
              <w:rPr>
                <w:rFonts w:hint="eastAsia"/>
                <w:bCs/>
                <w:sz w:val="30"/>
                <w:szCs w:val="30"/>
              </w:rPr>
              <w:t>分配规定数量量差的义务，并享有补充申报时段的交易权利。</w:t>
            </w:r>
          </w:p>
          <w:p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（三）提供参考价成员承担提供相应定价合约参考价的义务。</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（四）交易所规定的其他义务和权利。</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第十四条 交易所收到符合要求的申请材料后，应于20个工作日内提出是否同意的办理意见。</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第十五条 交易所可以对定价成员和提供参考价成员进行适当性检查，并根据检查结果对成员资格进行调整。</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第十六条 定价成员、提供参考价成员要求终止资格的，应提前三个月向交易所提出书面申请。</w:t>
            </w:r>
          </w:p>
          <w:p w:rsidR="00527DF4" w:rsidRDefault="00527DF4">
            <w:pPr>
              <w:pBdr>
                <w:top w:val="none" w:sz="0" w:space="0" w:color="000000"/>
                <w:left w:val="none" w:sz="0" w:space="0" w:color="000000"/>
                <w:bottom w:val="none" w:sz="0" w:space="0" w:color="000000"/>
                <w:right w:val="none" w:sz="0" w:space="0" w:color="000000"/>
              </w:pBdr>
              <w:spacing w:line="360" w:lineRule="auto"/>
              <w:ind w:firstLine="0"/>
              <w:jc w:val="center"/>
              <w:rPr>
                <w:bCs/>
                <w:sz w:val="30"/>
                <w:szCs w:val="30"/>
              </w:rPr>
            </w:pPr>
          </w:p>
          <w:p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第三章　交　易</w:t>
            </w:r>
          </w:p>
          <w:p w:rsidR="00527DF4" w:rsidRDefault="005F35A5">
            <w:pPr>
              <w:spacing w:line="360" w:lineRule="auto"/>
              <w:rPr>
                <w:bCs/>
                <w:sz w:val="30"/>
                <w:szCs w:val="30"/>
              </w:rPr>
            </w:pPr>
            <w:r>
              <w:rPr>
                <w:rFonts w:hint="eastAsia"/>
                <w:bCs/>
                <w:sz w:val="30"/>
                <w:szCs w:val="30"/>
              </w:rPr>
              <w:t>第十七条 上海</w:t>
            </w:r>
            <w:r>
              <w:rPr>
                <w:bCs/>
                <w:sz w:val="30"/>
                <w:szCs w:val="30"/>
              </w:rPr>
              <w:t>金</w:t>
            </w:r>
            <w:r>
              <w:rPr>
                <w:rFonts w:hint="eastAsia"/>
                <w:bCs/>
                <w:sz w:val="30"/>
                <w:szCs w:val="30"/>
              </w:rPr>
              <w:t>定价合约的交易标的为经交易所认可的标准重量1千克、成色不低于99.99％的金锭。上海银定价合约的交易标的为经交易所认可的标准重量15千克、成色不低于99.99％的银锭。</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lastRenderedPageBreak/>
              <w:t>第十八条 上海金定价合约的交易代码为SHAU，报价单位为人民币元/克，最小变动价位为0.01元。合约交易单位为“手”，每手为１千克，实行T+2交割。上海银定价合约的交易代码为SHAG，报价单位为人民币元/千克，最小变动价位为1元。合约交易单位为“手”，每手为1</w:t>
            </w:r>
            <w:r>
              <w:rPr>
                <w:bCs/>
                <w:sz w:val="30"/>
                <w:szCs w:val="30"/>
              </w:rPr>
              <w:t>5</w:t>
            </w:r>
            <w:r>
              <w:rPr>
                <w:rFonts w:hint="eastAsia"/>
                <w:bCs/>
                <w:sz w:val="30"/>
                <w:szCs w:val="30"/>
              </w:rPr>
              <w:t>千克，实行T+2交割。具体合约参数详见《上海黄金交易所定价合约参数表》（附</w:t>
            </w:r>
            <w:r w:rsidR="00FE60F5">
              <w:rPr>
                <w:rFonts w:hint="eastAsia"/>
                <w:bCs/>
                <w:sz w:val="30"/>
                <w:szCs w:val="30"/>
              </w:rPr>
              <w:t>表</w:t>
            </w:r>
            <w:r>
              <w:rPr>
                <w:rFonts w:hint="eastAsia"/>
                <w:bCs/>
                <w:sz w:val="30"/>
                <w:szCs w:val="30"/>
              </w:rPr>
              <w:t>1）。交易所可以根据市场情况调整定价合约的合约参数，合约参数的调整根据交易所公告执行。</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第十九条 集中定价交易按场次分为早盘定价和午盘定价，每场经过一轮或多轮的定价过程产生该场的基准价。不同定价合约的具体交易时间详见《定价合约集中定价交易时间表》（附</w:t>
            </w:r>
            <w:r w:rsidR="00FE60F5">
              <w:rPr>
                <w:rFonts w:hint="eastAsia"/>
                <w:bCs/>
                <w:sz w:val="30"/>
                <w:szCs w:val="30"/>
              </w:rPr>
              <w:t>表</w:t>
            </w:r>
            <w:r>
              <w:rPr>
                <w:rFonts w:hint="eastAsia"/>
                <w:bCs/>
                <w:sz w:val="30"/>
                <w:szCs w:val="30"/>
              </w:rPr>
              <w:t>2）。交易所可以根据业务需要调整集中定价交易的场次与交易时间，具体根据交易所公告执行。</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第二十条 会员、客户参与集中定价交易的申报，只在该场定价过程中有效。</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第二十一条 集中定价交易不设价格涨跌停板。</w:t>
            </w:r>
          </w:p>
          <w:p w:rsidR="00527DF4" w:rsidRDefault="005F35A5">
            <w:pPr>
              <w:spacing w:line="360" w:lineRule="auto"/>
              <w:rPr>
                <w:bCs/>
                <w:sz w:val="30"/>
                <w:szCs w:val="30"/>
              </w:rPr>
            </w:pPr>
            <w:r>
              <w:rPr>
                <w:rFonts w:hint="eastAsia"/>
                <w:bCs/>
                <w:sz w:val="30"/>
                <w:szCs w:val="30"/>
              </w:rPr>
              <w:t>第二十二条 集中定价交易实行保证金交易制度。交易所对有效申报即时冻结交易保证金。交易所可以根据市场情况调整定价合约的保证金比例。</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第二十三条 每场集中定价交易由三个环节组成：</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（一）参考价申报。定价成员和提供参考价成员申报上海金、上海银等定价合约的本场参考价，定价交易系统据此产生第一轮定价的最初系统出价（以下简称“初始价”）；</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lastRenderedPageBreak/>
              <w:t>（二）定价过程。会员、客户针对初始价及之后按系统出价规则调整的系统出价申报买卖意向和数量；</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（三）基准价产生。定价过程中某轮的买入申报量与卖出申报量之差（以下简称“量差”）等于或小于定价合约规定的成交阈值，定价过程结束，该轮的系统出价即为本场基准价，该轮的</w:t>
            </w:r>
            <w:r>
              <w:rPr>
                <w:bCs/>
                <w:sz w:val="30"/>
                <w:szCs w:val="30"/>
              </w:rPr>
              <w:t>所有</w:t>
            </w:r>
            <w:r>
              <w:rPr>
                <w:rFonts w:hint="eastAsia"/>
                <w:bCs/>
                <w:sz w:val="30"/>
                <w:szCs w:val="30"/>
              </w:rPr>
              <w:t>有效</w:t>
            </w:r>
            <w:r>
              <w:rPr>
                <w:bCs/>
                <w:sz w:val="30"/>
                <w:szCs w:val="30"/>
              </w:rPr>
              <w:t>申报全部</w:t>
            </w:r>
            <w:r>
              <w:rPr>
                <w:rFonts w:hint="eastAsia"/>
                <w:bCs/>
                <w:sz w:val="30"/>
                <w:szCs w:val="30"/>
              </w:rPr>
              <w:t>以基准价</w:t>
            </w:r>
            <w:r>
              <w:rPr>
                <w:bCs/>
                <w:sz w:val="30"/>
                <w:szCs w:val="30"/>
              </w:rPr>
              <w:t>成交</w:t>
            </w:r>
            <w:r>
              <w:rPr>
                <w:rFonts w:hint="eastAsia"/>
                <w:bCs/>
                <w:sz w:val="30"/>
                <w:szCs w:val="30"/>
              </w:rPr>
              <w:t>（以</w:t>
            </w:r>
            <w:r>
              <w:rPr>
                <w:bCs/>
                <w:sz w:val="30"/>
                <w:szCs w:val="30"/>
              </w:rPr>
              <w:t>下简称“</w:t>
            </w:r>
            <w:r>
              <w:rPr>
                <w:rFonts w:hint="eastAsia"/>
                <w:bCs/>
                <w:sz w:val="30"/>
                <w:szCs w:val="30"/>
              </w:rPr>
              <w:t>成</w:t>
            </w:r>
            <w:r>
              <w:rPr>
                <w:bCs/>
                <w:sz w:val="30"/>
                <w:szCs w:val="30"/>
              </w:rPr>
              <w:t>交”</w:t>
            </w:r>
            <w:r>
              <w:rPr>
                <w:rFonts w:hint="eastAsia"/>
                <w:bCs/>
                <w:sz w:val="30"/>
                <w:szCs w:val="30"/>
              </w:rPr>
              <w:t>）。</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第二十四条 早盘定价和午盘定价开始前，定价成员和提供参考价成员通过交易终端提交本场集中定价交易的参考价。</w:t>
            </w:r>
          </w:p>
          <w:p w:rsidR="00527DF4" w:rsidRDefault="005F35A5">
            <w:pPr>
              <w:spacing w:line="360" w:lineRule="auto"/>
              <w:rPr>
                <w:bCs/>
                <w:sz w:val="30"/>
                <w:szCs w:val="30"/>
              </w:rPr>
            </w:pPr>
            <w:r>
              <w:rPr>
                <w:rFonts w:hint="eastAsia"/>
                <w:bCs/>
                <w:sz w:val="30"/>
                <w:szCs w:val="30"/>
              </w:rPr>
              <w:t>第二十五条 初始价的计算和确定方式为：</w:t>
            </w:r>
          </w:p>
          <w:p w:rsidR="00527DF4" w:rsidRDefault="005F35A5">
            <w:pPr>
              <w:spacing w:line="360" w:lineRule="auto"/>
              <w:rPr>
                <w:bCs/>
                <w:sz w:val="30"/>
                <w:szCs w:val="30"/>
              </w:rPr>
            </w:pPr>
            <w:r>
              <w:rPr>
                <w:rFonts w:hint="eastAsia"/>
                <w:bCs/>
                <w:sz w:val="30"/>
                <w:szCs w:val="30"/>
              </w:rPr>
              <w:t>（一）定价成员和提供参考价成员在参考价申报</w:t>
            </w:r>
            <w:r>
              <w:rPr>
                <w:bCs/>
                <w:sz w:val="30"/>
                <w:szCs w:val="30"/>
              </w:rPr>
              <w:t>时</w:t>
            </w:r>
            <w:r>
              <w:rPr>
                <w:rFonts w:hint="eastAsia"/>
                <w:bCs/>
                <w:sz w:val="30"/>
                <w:szCs w:val="30"/>
              </w:rPr>
              <w:t>段</w:t>
            </w:r>
            <w:r>
              <w:rPr>
                <w:bCs/>
                <w:sz w:val="30"/>
                <w:szCs w:val="30"/>
              </w:rPr>
              <w:t>内</w:t>
            </w:r>
            <w:r>
              <w:rPr>
                <w:rFonts w:hint="eastAsia"/>
                <w:bCs/>
                <w:sz w:val="30"/>
                <w:szCs w:val="30"/>
              </w:rPr>
              <w:t>提供定价合约的本场参考价，若参与参考价申报的成员数大于</w:t>
            </w:r>
            <w:r>
              <w:rPr>
                <w:bCs/>
                <w:sz w:val="30"/>
                <w:szCs w:val="30"/>
              </w:rPr>
              <w:t>等</w:t>
            </w:r>
            <w:r>
              <w:rPr>
                <w:rFonts w:hint="eastAsia"/>
                <w:bCs/>
                <w:sz w:val="30"/>
                <w:szCs w:val="30"/>
              </w:rPr>
              <w:t>于总数的50%，交易所去除全部参考价中一个最高价和一个最低价后，以剩余参考价的算术平均价作为初始价。</w:t>
            </w:r>
          </w:p>
          <w:p w:rsidR="00527DF4" w:rsidRDefault="005F35A5">
            <w:pPr>
              <w:spacing w:line="360" w:lineRule="auto"/>
              <w:rPr>
                <w:bCs/>
                <w:sz w:val="30"/>
                <w:szCs w:val="30"/>
              </w:rPr>
            </w:pPr>
            <w:r>
              <w:rPr>
                <w:rFonts w:hint="eastAsia"/>
                <w:bCs/>
                <w:sz w:val="30"/>
                <w:szCs w:val="30"/>
              </w:rPr>
              <w:t>（二）若参与参考价申报的成员数少于规定总数的50%，则认定该场参考价申</w:t>
            </w:r>
            <w:r>
              <w:rPr>
                <w:bCs/>
                <w:sz w:val="30"/>
                <w:szCs w:val="30"/>
              </w:rPr>
              <w:t>报</w:t>
            </w:r>
            <w:r>
              <w:rPr>
                <w:rFonts w:hint="eastAsia"/>
                <w:bCs/>
                <w:sz w:val="30"/>
                <w:szCs w:val="30"/>
              </w:rPr>
              <w:t>无效。交易所将以定价合约参数表中规定的参考竞价合约在参考价申报时间段内所有成交的</w:t>
            </w:r>
            <w:r>
              <w:rPr>
                <w:bCs/>
                <w:sz w:val="30"/>
                <w:szCs w:val="30"/>
              </w:rPr>
              <w:t>算术平均价</w:t>
            </w:r>
            <w:r>
              <w:rPr>
                <w:rFonts w:hint="eastAsia"/>
                <w:bCs/>
                <w:sz w:val="30"/>
                <w:szCs w:val="30"/>
              </w:rPr>
              <w:t>，</w:t>
            </w:r>
            <w:r>
              <w:rPr>
                <w:bCs/>
                <w:sz w:val="30"/>
                <w:szCs w:val="30"/>
              </w:rPr>
              <w:t>作为</w:t>
            </w:r>
            <w:r>
              <w:rPr>
                <w:rFonts w:hint="eastAsia"/>
                <w:bCs/>
                <w:sz w:val="30"/>
                <w:szCs w:val="30"/>
              </w:rPr>
              <w:t>本</w:t>
            </w:r>
            <w:r>
              <w:rPr>
                <w:bCs/>
                <w:sz w:val="30"/>
                <w:szCs w:val="30"/>
              </w:rPr>
              <w:t>场次的初始价</w:t>
            </w:r>
            <w:r>
              <w:rPr>
                <w:rFonts w:hint="eastAsia"/>
                <w:bCs/>
                <w:sz w:val="30"/>
                <w:szCs w:val="30"/>
              </w:rPr>
              <w:t>。</w:t>
            </w:r>
          </w:p>
          <w:p w:rsidR="00527DF4" w:rsidRDefault="005F35A5">
            <w:pPr>
              <w:spacing w:line="360" w:lineRule="auto"/>
              <w:rPr>
                <w:bCs/>
                <w:sz w:val="30"/>
                <w:szCs w:val="30"/>
              </w:rPr>
            </w:pPr>
            <w:r>
              <w:rPr>
                <w:rFonts w:hint="eastAsia"/>
                <w:bCs/>
                <w:sz w:val="30"/>
                <w:szCs w:val="30"/>
              </w:rPr>
              <w:t>（三）若参考竞价合约在参考价申报时间段内没有成交，则</w:t>
            </w:r>
            <w:r>
              <w:rPr>
                <w:bCs/>
                <w:sz w:val="30"/>
                <w:szCs w:val="30"/>
              </w:rPr>
              <w:t>以</w:t>
            </w:r>
            <w:r>
              <w:rPr>
                <w:rFonts w:hint="eastAsia"/>
                <w:bCs/>
                <w:sz w:val="30"/>
                <w:szCs w:val="30"/>
              </w:rPr>
              <w:t>上个场次该定价合约的基准价作为本场次的初始价。</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第二十六条 每场定价过程由市场申报和补充申报两个倒计时时段组成。会员、客户可参与市场申报，定价成员可参与市场申报和补充申报。</w:t>
            </w:r>
            <w:r>
              <w:rPr>
                <w:rFonts w:hint="eastAsia"/>
                <w:bCs/>
                <w:sz w:val="30"/>
                <w:szCs w:val="30"/>
              </w:rPr>
              <w:br/>
              <w:t xml:space="preserve">    一次市场申报和补充申报合称为一轮。首轮市场申报时段</w:t>
            </w:r>
            <w:r>
              <w:rPr>
                <w:rFonts w:hint="eastAsia"/>
                <w:bCs/>
                <w:sz w:val="30"/>
                <w:szCs w:val="30"/>
              </w:rPr>
              <w:lastRenderedPageBreak/>
              <w:t>和补充申报时段的时间安排分别为60秒和10秒。自第二轮开始，每轮市场申报时段和补充申报时段的时间安排分别为30秒和10秒。</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第二十七条 客户在前后轮次之间的撤单需遵循“价优不减量”原则，即某轮的量差未满足基准价产生条件，进入下一轮时，若出价下跌，系统自动撤销上轮卖方的所有申报，不允许买方减少或撤销上轮申报；若出价上涨，系统自动撤销上轮买方的所有申报，不允许卖方减少或撤销上轮申报。被撤销一方的客户认同新一轮出价的，需要重新申报买、卖数量。</w:t>
            </w:r>
          </w:p>
          <w:p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第二十八条 定价成员在某轮补充申报时段的申报量，仅用于补足市场申报的量差，不能反转本轮市场申报阶段确立的买卖对比方向。按照时间优先的原则，大于市场申报量差部分的补充申报量无效。</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第二十九条 补充申报结束，若量差未满足基准价产生条件，交易系统根据量差情况调整出价，发起下一轮定价过程。系统出价规则为：</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（一）当卖出量减去买入量的量差大于成交阈值时下调价格，当买入量减去卖出量的量差大于成交阈值时上调价格。</w:t>
            </w:r>
          </w:p>
          <w:p w:rsidR="00527DF4" w:rsidRDefault="005F35A5">
            <w:pPr>
              <w:spacing w:line="360" w:lineRule="auto"/>
              <w:rPr>
                <w:bCs/>
                <w:sz w:val="30"/>
                <w:szCs w:val="30"/>
              </w:rPr>
            </w:pPr>
            <w:r>
              <w:rPr>
                <w:rFonts w:hint="eastAsia"/>
                <w:bCs/>
                <w:sz w:val="30"/>
                <w:szCs w:val="30"/>
              </w:rPr>
              <w:t>（二）首轮定价按量差大小确定下一轮的系统出价，之后轮次，买、卖申报量对比情况与上轮保持一致时，按量差大小确定下一轮的调价步长；买、卖申报量对比情况与上轮相反时，下一轮系统出价回撤本轮调价步长的50%。</w:t>
            </w:r>
          </w:p>
          <w:p w:rsidR="00527DF4" w:rsidRDefault="005F35A5">
            <w:pPr>
              <w:spacing w:line="360" w:lineRule="auto"/>
              <w:rPr>
                <w:bCs/>
                <w:sz w:val="30"/>
                <w:szCs w:val="30"/>
              </w:rPr>
            </w:pPr>
            <w:r>
              <w:rPr>
                <w:rFonts w:hint="eastAsia"/>
                <w:bCs/>
                <w:sz w:val="30"/>
                <w:szCs w:val="30"/>
              </w:rPr>
              <w:t>量差与调价步长的关系详见《定价合约量差与调价步长关</w:t>
            </w:r>
            <w:r>
              <w:rPr>
                <w:rFonts w:hint="eastAsia"/>
                <w:bCs/>
                <w:sz w:val="30"/>
                <w:szCs w:val="30"/>
              </w:rPr>
              <w:lastRenderedPageBreak/>
              <w:t>系表》（附</w:t>
            </w:r>
            <w:r w:rsidR="00FE60F5">
              <w:rPr>
                <w:rFonts w:hint="eastAsia"/>
                <w:bCs/>
                <w:sz w:val="30"/>
                <w:szCs w:val="30"/>
              </w:rPr>
              <w:t>表</w:t>
            </w:r>
            <w:r>
              <w:rPr>
                <w:rFonts w:hint="eastAsia"/>
                <w:bCs/>
                <w:sz w:val="30"/>
                <w:szCs w:val="30"/>
              </w:rPr>
              <w:t>3）。交易所可以根据市场情况，调整量差与调价步长的对应关系，具体根据交易所公告执行。</w:t>
            </w:r>
          </w:p>
          <w:p w:rsidR="00527DF4" w:rsidRDefault="005F35A5">
            <w:pPr>
              <w:spacing w:line="360" w:lineRule="auto"/>
              <w:rPr>
                <w:bCs/>
                <w:sz w:val="30"/>
                <w:szCs w:val="30"/>
              </w:rPr>
            </w:pPr>
            <w:r>
              <w:rPr>
                <w:rFonts w:hint="eastAsia"/>
                <w:bCs/>
                <w:sz w:val="30"/>
                <w:szCs w:val="30"/>
              </w:rPr>
              <w:t>第三十条 定价过程中，定价成员的补充申报量不会被撤销，将转换成下一轮市场申报量。定价成员对市场申报量的撤销应符合“价优不减量”原则。</w:t>
            </w:r>
          </w:p>
          <w:p w:rsidR="00527DF4" w:rsidRDefault="005F35A5">
            <w:pPr>
              <w:pBdr>
                <w:top w:val="none" w:sz="0" w:space="0" w:color="000000"/>
                <w:left w:val="none" w:sz="0" w:space="0" w:color="000000"/>
                <w:bottom w:val="none" w:sz="0" w:space="0" w:color="000000"/>
                <w:right w:val="none" w:sz="0" w:space="1" w:color="000000"/>
              </w:pBdr>
              <w:spacing w:line="360" w:lineRule="auto"/>
              <w:rPr>
                <w:bCs/>
                <w:sz w:val="30"/>
                <w:szCs w:val="30"/>
              </w:rPr>
            </w:pPr>
            <w:r>
              <w:rPr>
                <w:rFonts w:hint="eastAsia"/>
                <w:bCs/>
                <w:sz w:val="30"/>
                <w:szCs w:val="30"/>
              </w:rPr>
              <w:t>第三十一条 某轮市场申报结果量差为零，或补充申报结束，量差等于或小于定价合约成交阈值时，本场集中定价过程结束。该轮系统出价即为定价合约的本场基准价。该轮的量差由定价成员平均分担补足，有效申报全部按基准价成交。</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第三十二条 交易所监督管理</w:t>
            </w:r>
            <w:r>
              <w:rPr>
                <w:bCs/>
                <w:sz w:val="30"/>
                <w:szCs w:val="30"/>
              </w:rPr>
              <w:t>集中定价交易过程，</w:t>
            </w:r>
            <w:r>
              <w:rPr>
                <w:rFonts w:hint="eastAsia"/>
                <w:bCs/>
                <w:sz w:val="30"/>
                <w:szCs w:val="30"/>
              </w:rPr>
              <w:t>当某场</w:t>
            </w:r>
            <w:r>
              <w:rPr>
                <w:bCs/>
                <w:sz w:val="30"/>
                <w:szCs w:val="30"/>
              </w:rPr>
              <w:t>集中定价</w:t>
            </w:r>
            <w:r>
              <w:rPr>
                <w:rFonts w:hint="eastAsia"/>
                <w:bCs/>
                <w:sz w:val="30"/>
                <w:szCs w:val="30"/>
              </w:rPr>
              <w:t>出现：市场行情剧烈波动，系统出价</w:t>
            </w:r>
            <w:r>
              <w:rPr>
                <w:bCs/>
                <w:sz w:val="30"/>
                <w:szCs w:val="30"/>
              </w:rPr>
              <w:t>无法</w:t>
            </w:r>
            <w:r>
              <w:rPr>
                <w:rFonts w:hint="eastAsia"/>
                <w:bCs/>
                <w:sz w:val="30"/>
                <w:szCs w:val="30"/>
              </w:rPr>
              <w:t>与</w:t>
            </w:r>
            <w:r>
              <w:rPr>
                <w:bCs/>
                <w:sz w:val="30"/>
                <w:szCs w:val="30"/>
              </w:rPr>
              <w:t>市场价格</w:t>
            </w:r>
            <w:r>
              <w:rPr>
                <w:rFonts w:hint="eastAsia"/>
                <w:bCs/>
                <w:sz w:val="30"/>
                <w:szCs w:val="30"/>
              </w:rPr>
              <w:t>同步、</w:t>
            </w:r>
            <w:r>
              <w:rPr>
                <w:bCs/>
                <w:sz w:val="30"/>
                <w:szCs w:val="30"/>
              </w:rPr>
              <w:t>定价过程</w:t>
            </w:r>
            <w:r>
              <w:rPr>
                <w:rFonts w:hint="eastAsia"/>
                <w:bCs/>
                <w:sz w:val="30"/>
                <w:szCs w:val="30"/>
              </w:rPr>
              <w:t>明显异常及出现技术故障</w:t>
            </w:r>
            <w:r>
              <w:rPr>
                <w:bCs/>
                <w:sz w:val="30"/>
                <w:szCs w:val="30"/>
              </w:rPr>
              <w:t>时，</w:t>
            </w:r>
            <w:r>
              <w:rPr>
                <w:rFonts w:hint="eastAsia"/>
                <w:bCs/>
                <w:sz w:val="30"/>
                <w:szCs w:val="30"/>
              </w:rPr>
              <w:t>交易所</w:t>
            </w:r>
            <w:r>
              <w:rPr>
                <w:bCs/>
                <w:sz w:val="30"/>
                <w:szCs w:val="30"/>
              </w:rPr>
              <w:t>可以</w:t>
            </w:r>
            <w:r>
              <w:rPr>
                <w:rFonts w:hint="eastAsia"/>
                <w:bCs/>
                <w:sz w:val="30"/>
                <w:szCs w:val="30"/>
              </w:rPr>
              <w:t>暂停交易，</w:t>
            </w:r>
            <w:r>
              <w:rPr>
                <w:bCs/>
                <w:sz w:val="30"/>
                <w:szCs w:val="30"/>
              </w:rPr>
              <w:t>并</w:t>
            </w:r>
            <w:r>
              <w:rPr>
                <w:rFonts w:hint="eastAsia"/>
                <w:bCs/>
                <w:sz w:val="30"/>
                <w:szCs w:val="30"/>
              </w:rPr>
              <w:t>根据市场情况，采取以下两种措施中的一种：</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（一）交易所取消该场之前的所有申报，并按当时的市场价格出价，继续进行集中定价交易。恢复交易后的次轮系统出价，根据恢复当轮的量差情况确定。</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（二）交易所取消该场之前的所有申报，根据参考竞价合约当时的市场价格公布本场基准价。</w:t>
            </w:r>
          </w:p>
          <w:p w:rsidR="00527DF4" w:rsidRDefault="005F35A5">
            <w:pPr>
              <w:pBdr>
                <w:top w:val="none" w:sz="0" w:space="0" w:color="000000"/>
                <w:left w:val="none" w:sz="0" w:space="0" w:color="000000"/>
                <w:bottom w:val="none" w:sz="0" w:space="0" w:color="000000"/>
                <w:right w:val="none" w:sz="0" w:space="1" w:color="000000"/>
              </w:pBdr>
              <w:spacing w:line="360" w:lineRule="auto"/>
              <w:rPr>
                <w:bCs/>
                <w:sz w:val="30"/>
                <w:szCs w:val="30"/>
              </w:rPr>
            </w:pPr>
            <w:r>
              <w:rPr>
                <w:rFonts w:hint="eastAsia"/>
                <w:bCs/>
                <w:sz w:val="30"/>
                <w:szCs w:val="30"/>
              </w:rPr>
              <w:t>第三十三条 交易所对参与集中定价交易的会员收取交易手续费，交易手续费率根据交易所公告执行。</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第三十四条 交易所集中定价交易系统实时显示集中定价交易的出价、市场申报量、补充申报量、基准价、成交量等行情信息。定价合约的人民币基准价，通过网站、交易终端、第</w:t>
            </w:r>
            <w:r>
              <w:rPr>
                <w:rFonts w:hint="eastAsia"/>
                <w:bCs/>
                <w:sz w:val="30"/>
                <w:szCs w:val="30"/>
              </w:rPr>
              <w:lastRenderedPageBreak/>
              <w:t>三方资讯平台等渠道发布。</w:t>
            </w:r>
          </w:p>
          <w:p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p w:rsidR="00527DF4" w:rsidRDefault="005F35A5">
            <w:pPr>
              <w:pBdr>
                <w:top w:val="none" w:sz="0" w:space="0" w:color="000000"/>
                <w:left w:val="none" w:sz="0" w:space="1" w:color="000000"/>
                <w:bottom w:val="none" w:sz="0" w:space="0" w:color="000000"/>
                <w:right w:val="none" w:sz="0" w:space="0" w:color="000000"/>
              </w:pBdr>
              <w:spacing w:line="360" w:lineRule="auto"/>
              <w:ind w:firstLine="0"/>
              <w:jc w:val="center"/>
              <w:rPr>
                <w:b/>
                <w:sz w:val="30"/>
                <w:szCs w:val="30"/>
              </w:rPr>
            </w:pPr>
            <w:r>
              <w:rPr>
                <w:rFonts w:hint="eastAsia"/>
                <w:b/>
                <w:sz w:val="30"/>
                <w:szCs w:val="30"/>
              </w:rPr>
              <w:t>第四章  结算与交割</w:t>
            </w:r>
          </w:p>
          <w:p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第三十五条 交易所对集中定价交易进行集中</w:t>
            </w:r>
            <w:r w:rsidR="00FE60F5">
              <w:rPr>
                <w:rFonts w:hint="eastAsia"/>
                <w:bCs/>
                <w:sz w:val="30"/>
                <w:szCs w:val="30"/>
              </w:rPr>
              <w:t>清算结算</w:t>
            </w:r>
            <w:r>
              <w:rPr>
                <w:rFonts w:hint="eastAsia"/>
                <w:bCs/>
                <w:sz w:val="30"/>
                <w:szCs w:val="30"/>
              </w:rPr>
              <w:t>和交割。</w:t>
            </w:r>
          </w:p>
          <w:p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第三十六条 对每日开设早盘和午盘两场交易的定价合约以午盘的基准价格作为合约的结算价，对同一客户早盘和午盘的定价成交进行盈亏计算，并对合约净头寸收取规定比例的保证金。每日开设一场交易的定价合约以该场基准价格作为合约的结算价收取规定比例保证金。</w:t>
            </w:r>
          </w:p>
          <w:p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第三十七条 在T+2日日终结算时，按T+0日的结算价，对客户T+0日的定价合约净头寸执行实物交割</w:t>
            </w:r>
            <w:r w:rsidR="00FE60F5">
              <w:rPr>
                <w:rFonts w:hint="eastAsia"/>
                <w:bCs/>
                <w:sz w:val="30"/>
                <w:szCs w:val="30"/>
              </w:rPr>
              <w:t>清算</w:t>
            </w:r>
            <w:r>
              <w:rPr>
                <w:rFonts w:hint="eastAsia"/>
                <w:bCs/>
                <w:sz w:val="30"/>
                <w:szCs w:val="30"/>
              </w:rPr>
              <w:t>。</w:t>
            </w:r>
          </w:p>
          <w:p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第三十八条 定价</w:t>
            </w:r>
            <w:r w:rsidR="00FE60F5">
              <w:rPr>
                <w:rFonts w:hint="eastAsia"/>
                <w:bCs/>
                <w:sz w:val="30"/>
                <w:szCs w:val="30"/>
              </w:rPr>
              <w:t>合约</w:t>
            </w:r>
            <w:r>
              <w:rPr>
                <w:rFonts w:hint="eastAsia"/>
                <w:bCs/>
                <w:sz w:val="30"/>
                <w:szCs w:val="30"/>
              </w:rPr>
              <w:t>与交易所的其它交易</w:t>
            </w:r>
            <w:r w:rsidR="00FE60F5">
              <w:rPr>
                <w:rFonts w:hint="eastAsia"/>
                <w:bCs/>
                <w:sz w:val="30"/>
                <w:szCs w:val="30"/>
              </w:rPr>
              <w:t>合约</w:t>
            </w:r>
            <w:r>
              <w:rPr>
                <w:rFonts w:hint="eastAsia"/>
                <w:bCs/>
                <w:sz w:val="30"/>
                <w:szCs w:val="30"/>
              </w:rPr>
              <w:t>实行同一账户集中</w:t>
            </w:r>
            <w:r w:rsidR="00FE60F5">
              <w:rPr>
                <w:rFonts w:hint="eastAsia"/>
                <w:bCs/>
                <w:sz w:val="30"/>
                <w:szCs w:val="30"/>
              </w:rPr>
              <w:t>清</w:t>
            </w:r>
            <w:r>
              <w:rPr>
                <w:rFonts w:hint="eastAsia"/>
                <w:bCs/>
                <w:sz w:val="30"/>
                <w:szCs w:val="30"/>
              </w:rPr>
              <w:t>算。交易所依次按照竞价交易、集中定价交易、报价交易、询价交易的顺序进行清算和交割。</w:t>
            </w:r>
          </w:p>
          <w:p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第三十九条 在T+2日日终结算时，买方资金账户应有足额资金，卖方实物账户应有足额实物，若不能满足以上条件，则构成交割违约。交易所将根据定价合约违约金比例向违约方收取违约头寸对应的违约金，同时合约终止。</w:t>
            </w:r>
          </w:p>
          <w:p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第四十条 当违约方</w:t>
            </w:r>
            <w:r w:rsidR="00FE60F5">
              <w:rPr>
                <w:rFonts w:hint="eastAsia"/>
                <w:bCs/>
                <w:sz w:val="30"/>
                <w:szCs w:val="30"/>
              </w:rPr>
              <w:t>结</w:t>
            </w:r>
            <w:r>
              <w:rPr>
                <w:rFonts w:hint="eastAsia"/>
                <w:bCs/>
                <w:sz w:val="30"/>
                <w:szCs w:val="30"/>
              </w:rPr>
              <w:t>算准备金账户的金额不足以支付违约金时，交易所按照《上海黄金交易所风险控制管理办法》的规定处理。</w:t>
            </w:r>
          </w:p>
          <w:p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第四十一条 有关结算和交割的其它规定，参照《上海黄</w:t>
            </w:r>
            <w:r>
              <w:rPr>
                <w:rFonts w:hint="eastAsia"/>
                <w:bCs/>
                <w:sz w:val="30"/>
                <w:szCs w:val="30"/>
              </w:rPr>
              <w:lastRenderedPageBreak/>
              <w:t>金交易所结算细则》和《上海黄金交易所交割细则》执行。</w:t>
            </w:r>
          </w:p>
          <w:p w:rsidR="00527DF4" w:rsidRDefault="00527DF4">
            <w:pPr>
              <w:pBdr>
                <w:top w:val="none" w:sz="0" w:space="0" w:color="000000"/>
                <w:left w:val="none" w:sz="0" w:space="1" w:color="000000"/>
                <w:bottom w:val="none" w:sz="0" w:space="0" w:color="000000"/>
                <w:right w:val="none" w:sz="0" w:space="0" w:color="000000"/>
              </w:pBdr>
              <w:spacing w:line="360" w:lineRule="auto"/>
              <w:rPr>
                <w:bCs/>
                <w:sz w:val="30"/>
                <w:szCs w:val="30"/>
              </w:rPr>
            </w:pPr>
          </w:p>
          <w:p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bookmarkStart w:id="2" w:name="第三章"/>
            <w:r>
              <w:rPr>
                <w:rFonts w:hint="eastAsia"/>
                <w:b/>
                <w:sz w:val="30"/>
                <w:szCs w:val="30"/>
              </w:rPr>
              <w:t>第五章　合规性要求</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第四十二条 定价成员以及提供参考价成员应按照当时市场情况提供合理的市场参考价，不得相互商量沟通，联手影响操控初始价。</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第四十三条 会员、客户对每一轮出价的申报量应为其真实交易需求的表达，不得进行虚假交易，扰乱和破坏定价过程和正常的市场秩序。</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第四十四条 会员的自营和代理集中定价交易应完全分开，自营和代理交易业务之间应有防火墙。</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第四十五条 当会员和其客户利益发生冲突时，会员应以客户利益优先于会员自身利益的原则进行处理。</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第四十六条 会员不得依据其客户集中定价交易指令等内幕信息进行任何自营交易。</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第四十七条 在进行集中定价交易时，会员的相关风控部门应对交易进行监控和不定期现场监督检查。</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第四十八条 进行集中定价交易时，定价成员和提供参考价成员所有的通讯和外界联系应通过可以记录的设备完成，并保留通讯记录。</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第四十九条 严格禁止任何操纵价格、对敲、在同一场次恶意来回买卖等单独或联手扰乱市场，具有误导性和欺诈性的交易行为。</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lastRenderedPageBreak/>
              <w:t>第五十条 参与定价</w:t>
            </w:r>
            <w:r>
              <w:rPr>
                <w:bCs/>
                <w:sz w:val="30"/>
                <w:szCs w:val="30"/>
              </w:rPr>
              <w:t>交易的会员</w:t>
            </w:r>
            <w:r>
              <w:rPr>
                <w:rFonts w:hint="eastAsia"/>
                <w:bCs/>
                <w:sz w:val="30"/>
                <w:szCs w:val="30"/>
              </w:rPr>
              <w:t>、</w:t>
            </w:r>
            <w:r>
              <w:rPr>
                <w:bCs/>
                <w:sz w:val="30"/>
                <w:szCs w:val="30"/>
              </w:rPr>
              <w:t>客户</w:t>
            </w:r>
            <w:r>
              <w:rPr>
                <w:rFonts w:hint="eastAsia"/>
                <w:bCs/>
                <w:sz w:val="30"/>
                <w:szCs w:val="30"/>
              </w:rPr>
              <w:t>应有完善的合规和交易的档案记录留存，自</w:t>
            </w:r>
            <w:r>
              <w:rPr>
                <w:bCs/>
                <w:sz w:val="30"/>
                <w:szCs w:val="30"/>
              </w:rPr>
              <w:t>营和代理</w:t>
            </w:r>
            <w:r>
              <w:rPr>
                <w:rFonts w:hint="eastAsia"/>
                <w:bCs/>
                <w:sz w:val="30"/>
                <w:szCs w:val="30"/>
              </w:rPr>
              <w:t>档案应</w:t>
            </w:r>
            <w:r>
              <w:rPr>
                <w:bCs/>
                <w:sz w:val="30"/>
                <w:szCs w:val="30"/>
              </w:rPr>
              <w:t>分开</w:t>
            </w:r>
            <w:r>
              <w:rPr>
                <w:rFonts w:hint="eastAsia"/>
                <w:bCs/>
                <w:sz w:val="30"/>
                <w:szCs w:val="30"/>
              </w:rPr>
              <w:t>保留，</w:t>
            </w:r>
            <w:r>
              <w:rPr>
                <w:bCs/>
                <w:sz w:val="30"/>
                <w:szCs w:val="30"/>
              </w:rPr>
              <w:t>保留</w:t>
            </w:r>
            <w:r>
              <w:rPr>
                <w:rFonts w:hint="eastAsia"/>
                <w:bCs/>
                <w:sz w:val="30"/>
                <w:szCs w:val="30"/>
              </w:rPr>
              <w:t>期限不得少于五年。</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第五十一条 所有参加集中定价的相关人员应进行上岗前培训，充分理解集中定价交易业务规则和操作流程。</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第五十二条 由主要市场参与者、交易所以及黄金市场行业协会的专业人士共同</w:t>
            </w:r>
            <w:r>
              <w:rPr>
                <w:bCs/>
                <w:sz w:val="30"/>
                <w:szCs w:val="30"/>
              </w:rPr>
              <w:t>组成</w:t>
            </w:r>
            <w:r>
              <w:rPr>
                <w:rFonts w:hint="eastAsia"/>
                <w:bCs/>
                <w:sz w:val="30"/>
                <w:szCs w:val="30"/>
              </w:rPr>
              <w:t>集中定价交易监督管理委员会，</w:t>
            </w:r>
            <w:r>
              <w:rPr>
                <w:bCs/>
                <w:sz w:val="30"/>
                <w:szCs w:val="30"/>
              </w:rPr>
              <w:t>对</w:t>
            </w:r>
            <w:r>
              <w:rPr>
                <w:rFonts w:hint="eastAsia"/>
                <w:bCs/>
                <w:sz w:val="30"/>
                <w:szCs w:val="30"/>
              </w:rPr>
              <w:t>集中</w:t>
            </w:r>
            <w:r>
              <w:rPr>
                <w:bCs/>
                <w:sz w:val="30"/>
                <w:szCs w:val="30"/>
              </w:rPr>
              <w:t>定价交易业务的合规性进行监督管理。</w:t>
            </w:r>
          </w:p>
          <w:p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第五十三条 交易所有权不定期对合规性要求的执行情况进行检查，有权对不满足或违反集中定价合规性要求的市场参与者采取口头警告、书面警告、通报批评、取消集中定价交易资格等整改和处罚措施。</w:t>
            </w:r>
          </w:p>
          <w:p w:rsidR="00527DF4" w:rsidRDefault="00527DF4">
            <w:pPr>
              <w:pBdr>
                <w:top w:val="none" w:sz="0" w:space="0" w:color="000000"/>
                <w:left w:val="none" w:sz="0" w:space="0" w:color="000000"/>
                <w:bottom w:val="none" w:sz="0" w:space="0" w:color="000000"/>
                <w:right w:val="none" w:sz="0" w:space="0" w:color="000000"/>
              </w:pBdr>
              <w:spacing w:line="360" w:lineRule="auto"/>
              <w:ind w:firstLine="0"/>
              <w:jc w:val="center"/>
              <w:rPr>
                <w:bCs/>
                <w:sz w:val="30"/>
                <w:szCs w:val="30"/>
              </w:rPr>
            </w:pPr>
          </w:p>
          <w:p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第六章　违规处理</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第五十四条 市场参与者如有违反交易管理相关规定，扰乱市场的行为，按照《上海黄金交易所违规处理办法》的相关规定进行处罚。</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第五十五条 定价成员或提供参考价成员存在以下情形之一的，交易所可以终止其相应的定价成员或提供参考价成员资格：</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（一）相互商量沟通，联手影响操纵初始价；</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（二）影响或操纵市场价格，蓄意破坏定价过程以及市场正常秩序的；</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lastRenderedPageBreak/>
              <w:t>（三）未遵守交易所风险警示制度的有关要求；</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（四）符合《上海黄金交易所会员管理办法》和交易</w:t>
            </w:r>
            <w:r>
              <w:rPr>
                <w:bCs/>
                <w:sz w:val="30"/>
                <w:szCs w:val="30"/>
              </w:rPr>
              <w:t>所相关规</w:t>
            </w:r>
            <w:r>
              <w:rPr>
                <w:rFonts w:hint="eastAsia"/>
                <w:bCs/>
                <w:sz w:val="30"/>
                <w:szCs w:val="30"/>
              </w:rPr>
              <w:t>定取消会员资格情形的其他情况。</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第五十六条 被委托代理的会员存在以下行为之一的，按照《上海黄金交易所违规处理办法》的相关规定进行处罚。</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（一）未将自营账户资金和客户资金分户存放的；</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（二）利用客户账户为自己或他人交易的；</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（三）泄露客户委托事项或其他交易秘密的；</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（四）未按客户的委托事项进行交易，故意阻止、延误或改变客户下单指令，诱导、强制客户按自己的意志进行交易的；</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（五）其他违反交易所对代理业务管理规定的行为。</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第五十七条 有违规违约的其</w:t>
            </w:r>
            <w:r>
              <w:rPr>
                <w:bCs/>
                <w:sz w:val="30"/>
                <w:szCs w:val="30"/>
              </w:rPr>
              <w:t>他行为</w:t>
            </w:r>
            <w:r>
              <w:rPr>
                <w:rFonts w:hint="eastAsia"/>
                <w:bCs/>
                <w:sz w:val="30"/>
                <w:szCs w:val="30"/>
              </w:rPr>
              <w:t>，交易</w:t>
            </w:r>
            <w:r>
              <w:rPr>
                <w:bCs/>
                <w:sz w:val="30"/>
                <w:szCs w:val="30"/>
              </w:rPr>
              <w:t>所</w:t>
            </w:r>
            <w:r>
              <w:rPr>
                <w:rFonts w:hint="eastAsia"/>
                <w:bCs/>
                <w:sz w:val="30"/>
                <w:szCs w:val="30"/>
              </w:rPr>
              <w:t>有权按照《上海黄金交易所违规处理办法》相关规定进行处罚。</w:t>
            </w:r>
          </w:p>
          <w:p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bookmarkEnd w:id="2"/>
          <w:p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第七章 附  则</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第五十八条 本细则未及事项，按照交易所相关制度执行。</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第五十九条 本细则以中文书写，任何其他语种和版本之间产生 歧义的，以最近的中文文本为准。</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第六十条 本细则解释权与修改权属交易所。</w:t>
            </w:r>
          </w:p>
          <w:p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第六十一条 本细则自公布之日起实施。</w:t>
            </w:r>
          </w:p>
          <w:p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p w:rsidR="00527DF4" w:rsidRDefault="00527DF4">
            <w:pPr>
              <w:pBdr>
                <w:top w:val="none" w:sz="0" w:space="0" w:color="000000"/>
                <w:left w:val="none" w:sz="0" w:space="0" w:color="000000"/>
                <w:bottom w:val="none" w:sz="0" w:space="0" w:color="000000"/>
                <w:right w:val="none" w:sz="0" w:space="0" w:color="000000"/>
              </w:pBdr>
              <w:spacing w:line="360" w:lineRule="auto"/>
              <w:rPr>
                <w:rFonts w:ascii="宋体" w:eastAsia="宋体" w:hAnsi="宋体"/>
                <w:sz w:val="24"/>
                <w:szCs w:val="24"/>
              </w:rPr>
            </w:pPr>
          </w:p>
          <w:p w:rsidR="00FE60F5" w:rsidRDefault="00FE60F5">
            <w:pPr>
              <w:pBdr>
                <w:top w:val="none" w:sz="0" w:space="0" w:color="000000"/>
                <w:left w:val="none" w:sz="0" w:space="0" w:color="000000"/>
                <w:bottom w:val="none" w:sz="0" w:space="0" w:color="000000"/>
                <w:right w:val="none" w:sz="0" w:space="0" w:color="000000"/>
              </w:pBdr>
              <w:spacing w:line="360" w:lineRule="auto"/>
              <w:rPr>
                <w:rFonts w:ascii="宋体" w:eastAsia="宋体" w:hAnsi="宋体"/>
                <w:sz w:val="24"/>
                <w:szCs w:val="24"/>
              </w:rPr>
            </w:pPr>
          </w:p>
        </w:tc>
      </w:tr>
    </w:tbl>
    <w:p w:rsidR="00527DF4" w:rsidRPr="00FE60F5" w:rsidRDefault="005F35A5" w:rsidP="00FE60F5">
      <w:pPr>
        <w:widowControl/>
        <w:ind w:firstLine="0"/>
        <w:jc w:val="left"/>
        <w:rPr>
          <w:bCs/>
          <w:sz w:val="30"/>
          <w:szCs w:val="30"/>
        </w:rPr>
      </w:pPr>
      <w:r w:rsidRPr="00FE60F5">
        <w:rPr>
          <w:rFonts w:hint="eastAsia"/>
          <w:bCs/>
          <w:sz w:val="30"/>
          <w:szCs w:val="30"/>
        </w:rPr>
        <w:lastRenderedPageBreak/>
        <w:t>附</w:t>
      </w:r>
      <w:r w:rsidR="00FE60F5" w:rsidRPr="00FE60F5">
        <w:rPr>
          <w:rFonts w:hint="eastAsia"/>
          <w:bCs/>
          <w:sz w:val="30"/>
          <w:szCs w:val="30"/>
        </w:rPr>
        <w:t>表</w:t>
      </w:r>
      <w:r w:rsidRPr="00FE60F5">
        <w:rPr>
          <w:rFonts w:hint="eastAsia"/>
          <w:bCs/>
          <w:sz w:val="30"/>
          <w:szCs w:val="30"/>
        </w:rPr>
        <w:t>1</w:t>
      </w:r>
    </w:p>
    <w:p w:rsidR="00527DF4" w:rsidRDefault="005F35A5">
      <w:pPr>
        <w:widowControl/>
        <w:jc w:val="center"/>
        <w:rPr>
          <w:rFonts w:ascii="黑体" w:eastAsia="黑体" w:hAnsi="黑体" w:cs="宋体"/>
          <w:sz w:val="40"/>
          <w:szCs w:val="40"/>
        </w:rPr>
      </w:pPr>
      <w:r>
        <w:rPr>
          <w:rFonts w:ascii="黑体" w:eastAsia="黑体" w:hAnsi="黑体" w:cs="宋体" w:hint="eastAsia"/>
          <w:sz w:val="40"/>
          <w:szCs w:val="40"/>
        </w:rPr>
        <w:lastRenderedPageBreak/>
        <w:t>上海黄金交易所上海金定价合约参数表</w:t>
      </w:r>
    </w:p>
    <w:tbl>
      <w:tblPr>
        <w:tblW w:w="8948" w:type="dxa"/>
        <w:tblLayout w:type="fixed"/>
        <w:tblCellMar>
          <w:left w:w="15" w:type="dxa"/>
          <w:right w:w="15" w:type="dxa"/>
        </w:tblCellMar>
        <w:tblLook w:val="04A0"/>
      </w:tblPr>
      <w:tblGrid>
        <w:gridCol w:w="2567"/>
        <w:gridCol w:w="6381"/>
      </w:tblGrid>
      <w:tr w:rsidR="00527DF4">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rsidR="00527DF4" w:rsidRDefault="005F35A5">
            <w:pPr>
              <w:widowControl/>
              <w:spacing w:line="240" w:lineRule="auto"/>
              <w:jc w:val="center"/>
              <w:rPr>
                <w:rFonts w:ascii="宋体" w:hAnsi="宋体" w:cs="宋体"/>
                <w:b/>
                <w:sz w:val="24"/>
                <w:szCs w:val="24"/>
              </w:rPr>
            </w:pPr>
            <w:r>
              <w:rPr>
                <w:rFonts w:ascii="宋体" w:hAnsi="宋体" w:cs="宋体" w:hint="eastAsia"/>
                <w:b/>
                <w:sz w:val="24"/>
                <w:szCs w:val="24"/>
              </w:rPr>
              <w:t>项目</w:t>
            </w:r>
          </w:p>
        </w:tc>
        <w:tc>
          <w:tcPr>
            <w:tcW w:w="6381" w:type="dxa"/>
            <w:tcBorders>
              <w:top w:val="single" w:sz="4" w:space="0" w:color="auto"/>
              <w:bottom w:val="single" w:sz="4" w:space="0" w:color="auto"/>
              <w:right w:val="single" w:sz="4" w:space="0" w:color="auto"/>
            </w:tcBorders>
            <w:vAlign w:val="center"/>
          </w:tcPr>
          <w:p w:rsidR="00527DF4" w:rsidRDefault="005F35A5">
            <w:pPr>
              <w:widowControl/>
              <w:spacing w:line="240" w:lineRule="auto"/>
              <w:ind w:firstLine="0"/>
              <w:jc w:val="center"/>
              <w:rPr>
                <w:rFonts w:ascii="宋体" w:hAnsi="宋体" w:cs="宋体"/>
                <w:b/>
                <w:sz w:val="24"/>
                <w:szCs w:val="24"/>
              </w:rPr>
            </w:pPr>
            <w:r>
              <w:rPr>
                <w:rFonts w:ascii="宋体" w:hAnsi="宋体" w:cs="宋体" w:hint="eastAsia"/>
                <w:b/>
                <w:sz w:val="24"/>
                <w:szCs w:val="24"/>
              </w:rPr>
              <w:t>项目内容或参数</w:t>
            </w:r>
          </w:p>
        </w:tc>
      </w:tr>
      <w:tr w:rsidR="00527DF4">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交易品种</w:t>
            </w:r>
          </w:p>
        </w:tc>
        <w:tc>
          <w:tcPr>
            <w:tcW w:w="6381" w:type="dxa"/>
            <w:tcBorders>
              <w:top w:val="single" w:sz="4" w:space="0" w:color="auto"/>
              <w:bottom w:val="single" w:sz="4" w:space="0" w:color="auto"/>
              <w:right w:val="single" w:sz="4" w:space="0" w:color="auto"/>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黄金</w:t>
            </w:r>
          </w:p>
        </w:tc>
      </w:tr>
      <w:tr w:rsidR="00527DF4">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交易代码</w:t>
            </w:r>
          </w:p>
        </w:tc>
        <w:tc>
          <w:tcPr>
            <w:tcW w:w="6381" w:type="dxa"/>
            <w:tcBorders>
              <w:top w:val="single" w:sz="4" w:space="0" w:color="auto"/>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SHAU</w:t>
            </w:r>
          </w:p>
        </w:tc>
      </w:tr>
      <w:tr w:rsidR="00527DF4">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报价单位</w:t>
            </w:r>
          </w:p>
        </w:tc>
        <w:tc>
          <w:tcPr>
            <w:tcW w:w="6381" w:type="dxa"/>
            <w:tcBorders>
              <w:top w:val="single" w:sz="4" w:space="0" w:color="auto"/>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元</w:t>
            </w:r>
            <w:r>
              <w:rPr>
                <w:rFonts w:ascii="宋体" w:hAnsi="宋体" w:cs="宋体" w:hint="eastAsia"/>
                <w:sz w:val="24"/>
                <w:szCs w:val="24"/>
              </w:rPr>
              <w:t>（</w:t>
            </w:r>
            <w:r>
              <w:rPr>
                <w:rFonts w:ascii="宋体" w:hAnsi="宋体" w:cs="宋体"/>
                <w:sz w:val="24"/>
                <w:szCs w:val="24"/>
              </w:rPr>
              <w:t>人民币</w:t>
            </w:r>
            <w:r>
              <w:rPr>
                <w:rFonts w:ascii="宋体" w:hAnsi="宋体" w:cs="宋体" w:hint="eastAsia"/>
                <w:sz w:val="24"/>
                <w:szCs w:val="24"/>
              </w:rPr>
              <w:t>）</w:t>
            </w:r>
            <w:r>
              <w:rPr>
                <w:rFonts w:ascii="宋体" w:hAnsi="宋体" w:cs="宋体"/>
                <w:sz w:val="24"/>
                <w:szCs w:val="24"/>
              </w:rPr>
              <w:t>/</w:t>
            </w:r>
            <w:r>
              <w:rPr>
                <w:rFonts w:ascii="宋体" w:hAnsi="宋体" w:cs="宋体"/>
                <w:sz w:val="24"/>
                <w:szCs w:val="24"/>
              </w:rPr>
              <w:t>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交易方式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集中定价交易</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交易单位</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千</w:t>
            </w:r>
            <w:r>
              <w:rPr>
                <w:rFonts w:ascii="宋体" w:hAnsi="宋体" w:cs="宋体"/>
                <w:sz w:val="24"/>
                <w:szCs w:val="24"/>
              </w:rPr>
              <w:t>克</w:t>
            </w:r>
            <w:r>
              <w:rPr>
                <w:rFonts w:ascii="宋体" w:hAnsi="宋体" w:cs="宋体"/>
                <w:sz w:val="24"/>
                <w:szCs w:val="24"/>
              </w:rPr>
              <w:t>/</w:t>
            </w:r>
            <w:r>
              <w:rPr>
                <w:rFonts w:ascii="宋体" w:hAnsi="宋体" w:cs="宋体"/>
                <w:sz w:val="24"/>
                <w:szCs w:val="24"/>
              </w:rPr>
              <w:t>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最小变动价位</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0.01</w:t>
            </w:r>
            <w:r>
              <w:rPr>
                <w:rFonts w:ascii="宋体" w:hAnsi="宋体" w:cs="宋体"/>
                <w:sz w:val="24"/>
                <w:szCs w:val="24"/>
              </w:rPr>
              <w:t>元</w:t>
            </w:r>
            <w:r>
              <w:rPr>
                <w:rFonts w:ascii="宋体" w:hAnsi="宋体" w:cs="宋体"/>
                <w:sz w:val="24"/>
                <w:szCs w:val="24"/>
              </w:rPr>
              <w:t>/</w:t>
            </w:r>
            <w:r>
              <w:rPr>
                <w:rFonts w:ascii="宋体" w:hAnsi="宋体" w:cs="宋体"/>
                <w:sz w:val="24"/>
                <w:szCs w:val="24"/>
              </w:rPr>
              <w:t>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每日价格最大波动限制</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无限制</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保证金比例</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6%</w:t>
            </w:r>
          </w:p>
        </w:tc>
      </w:tr>
      <w:tr w:rsidR="00527DF4">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w:t>
            </w:r>
            <w:r>
              <w:rPr>
                <w:rFonts w:ascii="宋体" w:hAnsi="宋体" w:cs="宋体" w:hint="eastAsia"/>
                <w:sz w:val="24"/>
                <w:szCs w:val="24"/>
              </w:rPr>
              <w:t>笔</w:t>
            </w:r>
            <w:r>
              <w:rPr>
                <w:rFonts w:ascii="宋体" w:hAnsi="宋体" w:cs="宋体"/>
                <w:sz w:val="24"/>
                <w:szCs w:val="24"/>
              </w:rPr>
              <w:t>最小报价量</w:t>
            </w:r>
          </w:p>
        </w:tc>
        <w:tc>
          <w:tcPr>
            <w:tcW w:w="6381" w:type="dxa"/>
            <w:tcBorders>
              <w:top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w:t>
            </w:r>
            <w:r>
              <w:rPr>
                <w:rFonts w:ascii="宋体" w:hAnsi="宋体" w:cs="宋体" w:hint="eastAsia"/>
                <w:sz w:val="24"/>
                <w:szCs w:val="24"/>
              </w:rPr>
              <w:t>笔</w:t>
            </w:r>
            <w:r>
              <w:rPr>
                <w:rFonts w:ascii="宋体" w:hAnsi="宋体" w:cs="宋体"/>
                <w:sz w:val="24"/>
                <w:szCs w:val="24"/>
              </w:rPr>
              <w:t>最</w:t>
            </w:r>
            <w:r>
              <w:rPr>
                <w:rFonts w:ascii="宋体" w:hAnsi="宋体" w:cs="宋体" w:hint="eastAsia"/>
                <w:sz w:val="24"/>
                <w:szCs w:val="24"/>
              </w:rPr>
              <w:t>大</w:t>
            </w:r>
            <w:r>
              <w:rPr>
                <w:rFonts w:ascii="宋体" w:hAnsi="宋体" w:cs="宋体"/>
                <w:sz w:val="24"/>
                <w:szCs w:val="24"/>
              </w:rPr>
              <w:t>报价量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10000</w:t>
            </w:r>
            <w:r>
              <w:rPr>
                <w:rFonts w:ascii="宋体" w:hAnsi="宋体" w:cs="宋体" w:hint="eastAsia"/>
                <w:sz w:val="24"/>
                <w:szCs w:val="24"/>
              </w:rPr>
              <w:t>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成交方式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数量匹配</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成交阈值</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400</w:t>
            </w:r>
            <w:r>
              <w:rPr>
                <w:rFonts w:ascii="宋体" w:hAnsi="宋体" w:cs="宋体" w:hint="eastAsia"/>
                <w:sz w:val="24"/>
                <w:szCs w:val="24"/>
              </w:rPr>
              <w:t>千克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交易手续费</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rPr>
              <w:t>按交易所公告执行</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参考竞价合约</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Au99.99</w:t>
            </w:r>
          </w:p>
        </w:tc>
      </w:tr>
      <w:tr w:rsidR="00527DF4">
        <w:trPr>
          <w:trHeight w:hRule="exact" w:val="662"/>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每轮申报时限</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首轮市场申报</w:t>
            </w:r>
            <w:r>
              <w:rPr>
                <w:rFonts w:ascii="宋体" w:hAnsi="宋体" w:cs="宋体" w:hint="eastAsia"/>
                <w:sz w:val="24"/>
                <w:szCs w:val="24"/>
              </w:rPr>
              <w:t>60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自第二轮始，每轮市场申报</w:t>
            </w:r>
            <w:r>
              <w:rPr>
                <w:rFonts w:ascii="宋体" w:hAnsi="宋体" w:cs="宋体" w:hint="eastAsia"/>
                <w:sz w:val="24"/>
                <w:szCs w:val="24"/>
              </w:rPr>
              <w:t>30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结</w:t>
            </w:r>
            <w:r>
              <w:rPr>
                <w:rFonts w:ascii="宋体" w:hAnsi="宋体" w:cs="宋体"/>
                <w:sz w:val="24"/>
                <w:szCs w:val="24"/>
              </w:rPr>
              <w:t>算方式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钱货两讫</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交割方式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实物交割</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交割时间</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Ｔ</w:t>
            </w:r>
            <w:r>
              <w:rPr>
                <w:rFonts w:ascii="宋体" w:hAnsi="宋体" w:cs="宋体" w:hint="eastAsia"/>
                <w:sz w:val="24"/>
                <w:szCs w:val="24"/>
              </w:rPr>
              <w:t>+</w:t>
            </w:r>
            <w:r>
              <w:rPr>
                <w:rFonts w:ascii="宋体" w:hAnsi="宋体" w:cs="宋体" w:hint="eastAsia"/>
                <w:sz w:val="24"/>
                <w:szCs w:val="24"/>
              </w:rPr>
              <w:t>２</w:t>
            </w:r>
          </w:p>
        </w:tc>
      </w:tr>
      <w:tr w:rsidR="00527DF4">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品种</w:t>
            </w:r>
          </w:p>
        </w:tc>
        <w:tc>
          <w:tcPr>
            <w:tcW w:w="6381" w:type="dxa"/>
            <w:tcBorders>
              <w:top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标准重量</w:t>
            </w:r>
            <w:r>
              <w:rPr>
                <w:rFonts w:ascii="宋体" w:hAnsi="宋体" w:cs="宋体"/>
                <w:sz w:val="24"/>
                <w:szCs w:val="24"/>
              </w:rPr>
              <w:t xml:space="preserve"> 1 </w:t>
            </w:r>
            <w:r>
              <w:rPr>
                <w:rFonts w:ascii="宋体" w:hAnsi="宋体" w:cs="宋体"/>
                <w:sz w:val="24"/>
                <w:szCs w:val="24"/>
              </w:rPr>
              <w:t>千克、成色不低于</w:t>
            </w:r>
            <w:r>
              <w:rPr>
                <w:rFonts w:ascii="宋体" w:hAnsi="宋体" w:cs="宋体"/>
                <w:sz w:val="24"/>
                <w:szCs w:val="24"/>
              </w:rPr>
              <w:t xml:space="preserve"> 99.99%</w:t>
            </w:r>
            <w:r>
              <w:rPr>
                <w:rFonts w:ascii="宋体" w:hAnsi="宋体" w:cs="宋体"/>
                <w:sz w:val="24"/>
                <w:szCs w:val="24"/>
              </w:rPr>
              <w:t>的金锭</w:t>
            </w:r>
          </w:p>
        </w:tc>
      </w:tr>
      <w:tr w:rsidR="00527DF4">
        <w:trPr>
          <w:trHeight w:hRule="exact" w:val="1023"/>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质量标准</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经交易所认定的可提供标准金锭企业生产的</w:t>
            </w:r>
            <w:r>
              <w:rPr>
                <w:rFonts w:ascii="宋体" w:hAnsi="宋体" w:cs="宋体" w:hint="eastAsia"/>
                <w:sz w:val="24"/>
                <w:szCs w:val="24"/>
              </w:rPr>
              <w:t>、</w:t>
            </w:r>
            <w:r>
              <w:rPr>
                <w:rFonts w:ascii="宋体" w:hAnsi="宋体" w:cs="宋体"/>
                <w:sz w:val="24"/>
                <w:szCs w:val="24"/>
              </w:rPr>
              <w:t>符合交易所金锭</w:t>
            </w:r>
            <w:r>
              <w:rPr>
                <w:rFonts w:ascii="宋体" w:hAnsi="宋体" w:cs="宋体"/>
                <w:sz w:val="24"/>
                <w:szCs w:val="24"/>
              </w:rPr>
              <w:t xml:space="preserve"> SGEB1-2002</w:t>
            </w:r>
            <w:r>
              <w:rPr>
                <w:rFonts w:ascii="宋体" w:hAnsi="宋体" w:cs="宋体"/>
                <w:sz w:val="24"/>
                <w:szCs w:val="24"/>
              </w:rPr>
              <w:t>质量标准的实物，及交易所认可的国际相关市场认定的合格供货商生产的标准实物</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仓库</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交易所指定黄金交割仓库</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交割费</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违约金比例</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等同于保证金</w:t>
            </w:r>
            <w:r w:rsidR="00FE60F5">
              <w:rPr>
                <w:rFonts w:ascii="宋体" w:hAnsi="宋体" w:cs="宋体" w:hint="eastAsia"/>
                <w:sz w:val="24"/>
                <w:szCs w:val="24"/>
              </w:rPr>
              <w:t>比例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上市日期</w:t>
            </w:r>
          </w:p>
        </w:tc>
        <w:tc>
          <w:tcPr>
            <w:tcW w:w="6381" w:type="dxa"/>
            <w:tcBorders>
              <w:bottom w:val="single" w:sz="4" w:space="0" w:color="000000"/>
              <w:right w:val="single" w:sz="4" w:space="0" w:color="000000"/>
            </w:tcBorders>
            <w:vAlign w:val="center"/>
          </w:tcPr>
          <w:p w:rsidR="00527DF4" w:rsidRDefault="005F35A5" w:rsidP="00FE60F5">
            <w:pPr>
              <w:widowControl/>
              <w:spacing w:line="240" w:lineRule="auto"/>
              <w:ind w:firstLine="0"/>
              <w:jc w:val="center"/>
              <w:rPr>
                <w:rFonts w:ascii="宋体" w:hAnsi="宋体" w:cs="宋体"/>
                <w:sz w:val="24"/>
                <w:szCs w:val="24"/>
              </w:rPr>
            </w:pPr>
            <w:r>
              <w:rPr>
                <w:rFonts w:ascii="宋体" w:hAnsi="宋体" w:cs="宋体"/>
                <w:sz w:val="24"/>
                <w:szCs w:val="24"/>
              </w:rPr>
              <w:t>201</w:t>
            </w:r>
            <w:r>
              <w:rPr>
                <w:rFonts w:ascii="宋体" w:hAnsi="宋体" w:cs="宋体" w:hint="eastAsia"/>
                <w:sz w:val="24"/>
                <w:szCs w:val="24"/>
              </w:rPr>
              <w:t>6</w:t>
            </w:r>
            <w:r>
              <w:rPr>
                <w:rFonts w:ascii="宋体" w:hAnsi="宋体" w:cs="宋体"/>
                <w:sz w:val="24"/>
                <w:szCs w:val="24"/>
              </w:rPr>
              <w:t>年</w:t>
            </w:r>
            <w:r>
              <w:rPr>
                <w:rFonts w:ascii="宋体" w:hAnsi="宋体" w:cs="宋体" w:hint="eastAsia"/>
                <w:sz w:val="24"/>
                <w:szCs w:val="24"/>
              </w:rPr>
              <w:t>4</w:t>
            </w:r>
            <w:r>
              <w:rPr>
                <w:rFonts w:ascii="宋体" w:hAnsi="宋体" w:cs="宋体"/>
                <w:sz w:val="24"/>
                <w:szCs w:val="24"/>
              </w:rPr>
              <w:t>月</w:t>
            </w:r>
            <w:r>
              <w:rPr>
                <w:rFonts w:ascii="宋体" w:hAnsi="宋体" w:cs="宋体" w:hint="eastAsia"/>
                <w:sz w:val="24"/>
                <w:szCs w:val="24"/>
              </w:rPr>
              <w:t>19</w:t>
            </w:r>
            <w:r>
              <w:rPr>
                <w:rFonts w:ascii="宋体" w:hAnsi="宋体" w:cs="宋体" w:hint="eastAsia"/>
                <w:sz w:val="24"/>
                <w:szCs w:val="24"/>
              </w:rPr>
              <w:t>日</w:t>
            </w:r>
          </w:p>
        </w:tc>
      </w:tr>
    </w:tbl>
    <w:p w:rsidR="00FE60F5" w:rsidRDefault="00FE60F5">
      <w:pPr>
        <w:widowControl/>
        <w:autoSpaceDE/>
        <w:autoSpaceDN/>
        <w:snapToGrid/>
        <w:spacing w:line="240" w:lineRule="auto"/>
        <w:ind w:firstLine="0"/>
        <w:jc w:val="left"/>
        <w:rPr>
          <w:rFonts w:ascii="黑体" w:eastAsia="黑体" w:hAnsi="黑体" w:cs="宋体"/>
          <w:sz w:val="40"/>
          <w:szCs w:val="40"/>
        </w:rPr>
      </w:pPr>
      <w:r>
        <w:rPr>
          <w:rFonts w:ascii="黑体" w:eastAsia="黑体" w:hAnsi="黑体" w:cs="宋体"/>
          <w:sz w:val="40"/>
          <w:szCs w:val="40"/>
        </w:rPr>
        <w:br w:type="page"/>
      </w:r>
    </w:p>
    <w:p w:rsidR="00527DF4" w:rsidRDefault="005F35A5">
      <w:pPr>
        <w:widowControl/>
        <w:jc w:val="center"/>
        <w:rPr>
          <w:rFonts w:ascii="黑体" w:eastAsia="黑体" w:hAnsi="黑体" w:cs="宋体"/>
          <w:sz w:val="40"/>
          <w:szCs w:val="40"/>
        </w:rPr>
      </w:pPr>
      <w:r>
        <w:rPr>
          <w:rFonts w:ascii="黑体" w:eastAsia="黑体" w:hAnsi="黑体" w:cs="宋体" w:hint="eastAsia"/>
          <w:sz w:val="40"/>
          <w:szCs w:val="40"/>
        </w:rPr>
        <w:lastRenderedPageBreak/>
        <w:t>上海黄金交易所上海银定价合约参数表</w:t>
      </w:r>
    </w:p>
    <w:tbl>
      <w:tblPr>
        <w:tblW w:w="8948" w:type="dxa"/>
        <w:tblLayout w:type="fixed"/>
        <w:tblCellMar>
          <w:left w:w="15" w:type="dxa"/>
          <w:right w:w="15" w:type="dxa"/>
        </w:tblCellMar>
        <w:tblLook w:val="04A0"/>
      </w:tblPr>
      <w:tblGrid>
        <w:gridCol w:w="2567"/>
        <w:gridCol w:w="6381"/>
      </w:tblGrid>
      <w:tr w:rsidR="00527DF4">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rsidR="00527DF4" w:rsidRDefault="005F35A5">
            <w:pPr>
              <w:widowControl/>
              <w:spacing w:line="240" w:lineRule="auto"/>
              <w:jc w:val="center"/>
              <w:rPr>
                <w:rFonts w:ascii="宋体" w:hAnsi="宋体" w:cs="宋体"/>
                <w:b/>
                <w:sz w:val="24"/>
                <w:szCs w:val="24"/>
              </w:rPr>
            </w:pPr>
            <w:r>
              <w:rPr>
                <w:rFonts w:ascii="宋体" w:hAnsi="宋体" w:cs="宋体" w:hint="eastAsia"/>
                <w:b/>
                <w:sz w:val="24"/>
                <w:szCs w:val="24"/>
              </w:rPr>
              <w:t>项目</w:t>
            </w:r>
          </w:p>
        </w:tc>
        <w:tc>
          <w:tcPr>
            <w:tcW w:w="6381" w:type="dxa"/>
            <w:tcBorders>
              <w:top w:val="single" w:sz="4" w:space="0" w:color="auto"/>
              <w:bottom w:val="single" w:sz="4" w:space="0" w:color="auto"/>
              <w:right w:val="single" w:sz="4" w:space="0" w:color="auto"/>
            </w:tcBorders>
            <w:vAlign w:val="center"/>
          </w:tcPr>
          <w:p w:rsidR="00527DF4" w:rsidRDefault="005F35A5">
            <w:pPr>
              <w:widowControl/>
              <w:spacing w:line="240" w:lineRule="auto"/>
              <w:ind w:firstLine="0"/>
              <w:jc w:val="center"/>
              <w:rPr>
                <w:rFonts w:ascii="宋体" w:hAnsi="宋体" w:cs="宋体"/>
                <w:b/>
                <w:sz w:val="24"/>
                <w:szCs w:val="24"/>
              </w:rPr>
            </w:pPr>
            <w:r>
              <w:rPr>
                <w:rFonts w:ascii="宋体" w:hAnsi="宋体" w:cs="宋体" w:hint="eastAsia"/>
                <w:b/>
                <w:sz w:val="24"/>
                <w:szCs w:val="24"/>
              </w:rPr>
              <w:t>项目内容或参数</w:t>
            </w:r>
          </w:p>
        </w:tc>
      </w:tr>
      <w:tr w:rsidR="00527DF4">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交易品种</w:t>
            </w:r>
          </w:p>
        </w:tc>
        <w:tc>
          <w:tcPr>
            <w:tcW w:w="6381" w:type="dxa"/>
            <w:tcBorders>
              <w:top w:val="single" w:sz="4" w:space="0" w:color="auto"/>
              <w:bottom w:val="single" w:sz="4" w:space="0" w:color="auto"/>
              <w:right w:val="single" w:sz="4" w:space="0" w:color="auto"/>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白银</w:t>
            </w:r>
          </w:p>
        </w:tc>
      </w:tr>
      <w:tr w:rsidR="00527DF4">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交易代码</w:t>
            </w:r>
          </w:p>
        </w:tc>
        <w:tc>
          <w:tcPr>
            <w:tcW w:w="6381" w:type="dxa"/>
            <w:tcBorders>
              <w:top w:val="single" w:sz="4" w:space="0" w:color="auto"/>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SHAG</w:t>
            </w:r>
          </w:p>
        </w:tc>
      </w:tr>
      <w:tr w:rsidR="00527DF4">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报价单位</w:t>
            </w:r>
          </w:p>
        </w:tc>
        <w:tc>
          <w:tcPr>
            <w:tcW w:w="6381" w:type="dxa"/>
            <w:tcBorders>
              <w:top w:val="single" w:sz="4" w:space="0" w:color="auto"/>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元</w:t>
            </w:r>
            <w:r>
              <w:rPr>
                <w:rFonts w:ascii="宋体" w:hAnsi="宋体" w:cs="宋体" w:hint="eastAsia"/>
                <w:sz w:val="24"/>
                <w:szCs w:val="24"/>
              </w:rPr>
              <w:t>（</w:t>
            </w:r>
            <w:r>
              <w:rPr>
                <w:rFonts w:ascii="宋体" w:hAnsi="宋体" w:cs="宋体"/>
                <w:sz w:val="24"/>
                <w:szCs w:val="24"/>
              </w:rPr>
              <w:t>人民币</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千</w:t>
            </w:r>
            <w:r>
              <w:rPr>
                <w:rFonts w:ascii="宋体" w:hAnsi="宋体" w:cs="宋体"/>
                <w:sz w:val="24"/>
                <w:szCs w:val="24"/>
              </w:rPr>
              <w:t>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交易方式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集中定价交易</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交易单位</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5</w:t>
            </w:r>
            <w:r>
              <w:rPr>
                <w:rFonts w:ascii="宋体" w:hAnsi="宋体" w:cs="宋体" w:hint="eastAsia"/>
                <w:sz w:val="24"/>
                <w:szCs w:val="24"/>
              </w:rPr>
              <w:t>千</w:t>
            </w:r>
            <w:r>
              <w:rPr>
                <w:rFonts w:ascii="宋体" w:hAnsi="宋体" w:cs="宋体"/>
                <w:sz w:val="24"/>
                <w:szCs w:val="24"/>
              </w:rPr>
              <w:t>克</w:t>
            </w:r>
            <w:r>
              <w:rPr>
                <w:rFonts w:ascii="宋体" w:hAnsi="宋体" w:cs="宋体"/>
                <w:sz w:val="24"/>
                <w:szCs w:val="24"/>
              </w:rPr>
              <w:t>/</w:t>
            </w:r>
            <w:r>
              <w:rPr>
                <w:rFonts w:ascii="宋体" w:hAnsi="宋体" w:cs="宋体"/>
                <w:sz w:val="24"/>
                <w:szCs w:val="24"/>
              </w:rPr>
              <w:t>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最小变动价位</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w:t>
            </w:r>
            <w:r>
              <w:rPr>
                <w:rFonts w:ascii="宋体" w:hAnsi="宋体" w:cs="宋体"/>
                <w:sz w:val="24"/>
                <w:szCs w:val="24"/>
              </w:rPr>
              <w:t>元</w:t>
            </w:r>
            <w:r>
              <w:rPr>
                <w:rFonts w:ascii="宋体" w:hAnsi="宋体" w:cs="宋体"/>
                <w:sz w:val="24"/>
                <w:szCs w:val="24"/>
              </w:rPr>
              <w:t>/</w:t>
            </w:r>
            <w:r>
              <w:rPr>
                <w:rFonts w:ascii="宋体" w:hAnsi="宋体" w:cs="宋体" w:hint="eastAsia"/>
                <w:sz w:val="24"/>
                <w:szCs w:val="24"/>
              </w:rPr>
              <w:t>千</w:t>
            </w:r>
            <w:r>
              <w:rPr>
                <w:rFonts w:ascii="宋体" w:hAnsi="宋体" w:cs="宋体"/>
                <w:sz w:val="24"/>
                <w:szCs w:val="24"/>
              </w:rPr>
              <w:t>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每日价格最大波动限制</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无限制</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保证金比例</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sz w:val="24"/>
                <w:szCs w:val="24"/>
              </w:rPr>
              <w:t>10</w:t>
            </w:r>
            <w:r>
              <w:rPr>
                <w:rFonts w:ascii="宋体" w:hAnsi="宋体" w:cs="宋体" w:hint="eastAsia"/>
                <w:sz w:val="24"/>
                <w:szCs w:val="24"/>
              </w:rPr>
              <w:t>%</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单边最小报价量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手</w:t>
            </w:r>
          </w:p>
        </w:tc>
      </w:tr>
      <w:tr w:rsidR="00527DF4">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单边最</w:t>
            </w:r>
            <w:r>
              <w:rPr>
                <w:rFonts w:ascii="宋体" w:hAnsi="宋体" w:cs="宋体" w:hint="eastAsia"/>
                <w:sz w:val="24"/>
                <w:szCs w:val="24"/>
              </w:rPr>
              <w:t>大</w:t>
            </w:r>
            <w:r>
              <w:rPr>
                <w:rFonts w:ascii="宋体" w:hAnsi="宋体" w:cs="宋体"/>
                <w:sz w:val="24"/>
                <w:szCs w:val="24"/>
              </w:rPr>
              <w:t>报价量</w:t>
            </w:r>
          </w:p>
        </w:tc>
        <w:tc>
          <w:tcPr>
            <w:tcW w:w="6381" w:type="dxa"/>
            <w:tcBorders>
              <w:top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40000</w:t>
            </w:r>
            <w:r>
              <w:rPr>
                <w:rFonts w:ascii="宋体" w:hAnsi="宋体" w:cs="宋体" w:hint="eastAsia"/>
                <w:sz w:val="24"/>
                <w:szCs w:val="24"/>
              </w:rPr>
              <w:t>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成交方式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数量匹配</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成交阈值</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9000</w:t>
            </w:r>
            <w:r>
              <w:rPr>
                <w:rFonts w:ascii="宋体" w:hAnsi="宋体" w:cs="宋体" w:hint="eastAsia"/>
                <w:sz w:val="24"/>
                <w:szCs w:val="24"/>
              </w:rPr>
              <w:t>千克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交易手续费</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rPr>
              <w:t>按交易所公告执行</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参考竞价合约</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Ag(T+D)</w:t>
            </w:r>
          </w:p>
        </w:tc>
      </w:tr>
      <w:tr w:rsidR="00527DF4">
        <w:trPr>
          <w:trHeight w:hRule="exact" w:val="866"/>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每轮申报时限</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首轮市场申报</w:t>
            </w:r>
            <w:r>
              <w:rPr>
                <w:rFonts w:ascii="宋体" w:hAnsi="宋体" w:cs="宋体" w:hint="eastAsia"/>
                <w:sz w:val="24"/>
                <w:szCs w:val="24"/>
              </w:rPr>
              <w:t>60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自第二轮始，每轮市场申报</w:t>
            </w:r>
            <w:r>
              <w:rPr>
                <w:rFonts w:ascii="宋体" w:hAnsi="宋体" w:cs="宋体" w:hint="eastAsia"/>
                <w:sz w:val="24"/>
                <w:szCs w:val="24"/>
              </w:rPr>
              <w:t>30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结</w:t>
            </w:r>
            <w:r>
              <w:rPr>
                <w:rFonts w:ascii="宋体" w:hAnsi="宋体" w:cs="宋体"/>
                <w:sz w:val="24"/>
                <w:szCs w:val="24"/>
              </w:rPr>
              <w:t>算方式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钱货两讫</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交割方式</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实物交割</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交割时间</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Ｔ</w:t>
            </w:r>
            <w:r>
              <w:rPr>
                <w:rFonts w:ascii="宋体" w:hAnsi="宋体" w:cs="宋体" w:hint="eastAsia"/>
                <w:sz w:val="24"/>
                <w:szCs w:val="24"/>
              </w:rPr>
              <w:t>+</w:t>
            </w:r>
            <w:r>
              <w:rPr>
                <w:rFonts w:ascii="宋体" w:hAnsi="宋体" w:cs="宋体" w:hint="eastAsia"/>
                <w:sz w:val="24"/>
                <w:szCs w:val="24"/>
              </w:rPr>
              <w:t>２</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品种</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标准重量</w:t>
            </w:r>
            <w:r>
              <w:rPr>
                <w:rFonts w:ascii="宋体" w:hAnsi="宋体" w:cs="宋体"/>
                <w:sz w:val="24"/>
                <w:szCs w:val="24"/>
              </w:rPr>
              <w:t xml:space="preserve"> 15 </w:t>
            </w:r>
            <w:r>
              <w:rPr>
                <w:rFonts w:ascii="宋体" w:hAnsi="宋体" w:cs="宋体"/>
                <w:sz w:val="24"/>
                <w:szCs w:val="24"/>
              </w:rPr>
              <w:t>千克、成色不低于</w:t>
            </w:r>
            <w:r>
              <w:rPr>
                <w:rFonts w:ascii="宋体" w:hAnsi="宋体" w:cs="宋体"/>
                <w:sz w:val="24"/>
                <w:szCs w:val="24"/>
              </w:rPr>
              <w:t>99.9</w:t>
            </w:r>
            <w:r>
              <w:rPr>
                <w:rFonts w:ascii="宋体" w:hAnsi="宋体" w:cs="宋体" w:hint="eastAsia"/>
                <w:sz w:val="24"/>
                <w:szCs w:val="24"/>
              </w:rPr>
              <w:t>9</w:t>
            </w:r>
            <w:r>
              <w:rPr>
                <w:rFonts w:ascii="宋体" w:hAnsi="宋体" w:cs="宋体"/>
                <w:sz w:val="24"/>
                <w:szCs w:val="24"/>
              </w:rPr>
              <w:t>%</w:t>
            </w:r>
            <w:r>
              <w:rPr>
                <w:rFonts w:ascii="宋体" w:hAnsi="宋体" w:cs="宋体"/>
                <w:sz w:val="24"/>
                <w:szCs w:val="24"/>
              </w:rPr>
              <w:t>的银锭</w:t>
            </w:r>
          </w:p>
        </w:tc>
      </w:tr>
      <w:tr w:rsidR="00527DF4" w:rsidTr="007F2D18">
        <w:trPr>
          <w:trHeight w:hRule="exact" w:val="1877"/>
        </w:trPr>
        <w:tc>
          <w:tcPr>
            <w:tcW w:w="2567" w:type="dxa"/>
            <w:tcBorders>
              <w:top w:val="single" w:sz="4" w:space="0" w:color="000000"/>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质量标准</w:t>
            </w:r>
          </w:p>
        </w:tc>
        <w:tc>
          <w:tcPr>
            <w:tcW w:w="6381" w:type="dxa"/>
            <w:tcBorders>
              <w:top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经交易所认定的可提供标准银锭企业生产的符合国家银锭</w:t>
            </w:r>
            <w:r>
              <w:rPr>
                <w:rFonts w:ascii="宋体" w:hAnsi="宋体" w:cs="宋体"/>
                <w:sz w:val="24"/>
                <w:szCs w:val="24"/>
              </w:rPr>
              <w:t>GB/T4135-2016</w:t>
            </w:r>
            <w:r>
              <w:rPr>
                <w:rFonts w:ascii="宋体" w:hAnsi="宋体" w:cs="宋体" w:hint="eastAsia"/>
                <w:sz w:val="24"/>
                <w:szCs w:val="24"/>
              </w:rPr>
              <w:t>标准的实物，及伦敦金银市场协会（</w:t>
            </w:r>
            <w:r>
              <w:rPr>
                <w:rFonts w:ascii="宋体" w:hAnsi="宋体" w:cs="宋体"/>
                <w:sz w:val="24"/>
                <w:szCs w:val="24"/>
              </w:rPr>
              <w:t>LBMA</w:t>
            </w:r>
            <w:r>
              <w:rPr>
                <w:rFonts w:ascii="宋体" w:hAnsi="宋体" w:cs="宋体" w:hint="eastAsia"/>
                <w:sz w:val="24"/>
                <w:szCs w:val="24"/>
              </w:rPr>
              <w:t>）认定的合格供货商生产的标准实物。</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仓库</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交易所指定</w:t>
            </w:r>
            <w:r>
              <w:rPr>
                <w:rFonts w:ascii="宋体" w:hAnsi="宋体" w:cs="宋体" w:hint="eastAsia"/>
                <w:sz w:val="24"/>
                <w:szCs w:val="24"/>
              </w:rPr>
              <w:t>Ag</w:t>
            </w:r>
            <w:r>
              <w:rPr>
                <w:rFonts w:ascii="宋体" w:hAnsi="宋体" w:cs="宋体" w:hint="eastAsia"/>
                <w:sz w:val="24"/>
                <w:szCs w:val="24"/>
              </w:rPr>
              <w:t>（</w:t>
            </w:r>
            <w:r>
              <w:rPr>
                <w:rFonts w:ascii="宋体" w:hAnsi="宋体" w:cs="宋体" w:hint="eastAsia"/>
                <w:sz w:val="24"/>
                <w:szCs w:val="24"/>
              </w:rPr>
              <w:t>T+D</w:t>
            </w:r>
            <w:r>
              <w:rPr>
                <w:rFonts w:ascii="宋体" w:hAnsi="宋体" w:cs="宋体" w:hint="eastAsia"/>
                <w:sz w:val="24"/>
                <w:szCs w:val="24"/>
              </w:rPr>
              <w:t>）白银交割仓库</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交割费</w:t>
            </w:r>
          </w:p>
        </w:tc>
        <w:tc>
          <w:tcPr>
            <w:tcW w:w="6381" w:type="dxa"/>
            <w:tcBorders>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千克</w:t>
            </w:r>
          </w:p>
        </w:tc>
      </w:tr>
      <w:tr w:rsidR="00FE60F5">
        <w:trPr>
          <w:trHeight w:hRule="exact" w:val="454"/>
        </w:trPr>
        <w:tc>
          <w:tcPr>
            <w:tcW w:w="2567" w:type="dxa"/>
            <w:tcBorders>
              <w:left w:val="single" w:sz="4" w:space="0" w:color="000000"/>
              <w:bottom w:val="single" w:sz="4" w:space="0" w:color="000000"/>
              <w:right w:val="single" w:sz="4" w:space="0" w:color="000000"/>
            </w:tcBorders>
            <w:vAlign w:val="center"/>
          </w:tcPr>
          <w:p w:rsidR="00FE60F5" w:rsidRDefault="00FE60F5">
            <w:pPr>
              <w:widowControl/>
              <w:spacing w:line="240" w:lineRule="auto"/>
              <w:ind w:firstLine="0"/>
              <w:jc w:val="center"/>
              <w:rPr>
                <w:rFonts w:ascii="宋体" w:hAnsi="宋体" w:cs="宋体"/>
                <w:sz w:val="24"/>
                <w:szCs w:val="24"/>
              </w:rPr>
            </w:pPr>
            <w:r>
              <w:rPr>
                <w:rFonts w:ascii="宋体" w:hAnsi="宋体" w:cs="宋体" w:hint="eastAsia"/>
                <w:sz w:val="24"/>
                <w:szCs w:val="24"/>
              </w:rPr>
              <w:t>违约金比例</w:t>
            </w:r>
          </w:p>
        </w:tc>
        <w:tc>
          <w:tcPr>
            <w:tcW w:w="6381" w:type="dxa"/>
            <w:tcBorders>
              <w:bottom w:val="single" w:sz="4" w:space="0" w:color="000000"/>
              <w:right w:val="single" w:sz="4" w:space="0" w:color="000000"/>
            </w:tcBorders>
            <w:vAlign w:val="center"/>
          </w:tcPr>
          <w:p w:rsidR="00FE60F5" w:rsidRDefault="00FE60F5">
            <w:pPr>
              <w:widowControl/>
              <w:spacing w:line="240" w:lineRule="auto"/>
              <w:ind w:firstLine="0"/>
              <w:jc w:val="center"/>
              <w:rPr>
                <w:rFonts w:ascii="宋体" w:hAnsi="宋体" w:cs="宋体"/>
                <w:sz w:val="24"/>
                <w:szCs w:val="24"/>
              </w:rPr>
            </w:pPr>
            <w:r>
              <w:rPr>
                <w:rFonts w:ascii="宋体" w:hAnsi="宋体" w:cs="宋体" w:hint="eastAsia"/>
                <w:sz w:val="24"/>
                <w:szCs w:val="24"/>
              </w:rPr>
              <w:t>等同于保证金比例</w:t>
            </w:r>
          </w:p>
        </w:tc>
      </w:tr>
      <w:tr w:rsidR="00527DF4">
        <w:trPr>
          <w:trHeight w:hRule="exact" w:val="454"/>
        </w:trPr>
        <w:tc>
          <w:tcPr>
            <w:tcW w:w="2567"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上市日期</w:t>
            </w:r>
          </w:p>
        </w:tc>
        <w:tc>
          <w:tcPr>
            <w:tcW w:w="6381" w:type="dxa"/>
            <w:tcBorders>
              <w:bottom w:val="single" w:sz="4" w:space="0" w:color="000000"/>
              <w:right w:val="single" w:sz="4" w:space="0" w:color="000000"/>
            </w:tcBorders>
            <w:vAlign w:val="center"/>
          </w:tcPr>
          <w:p w:rsidR="00527DF4" w:rsidRDefault="007F2D18">
            <w:pPr>
              <w:widowControl/>
              <w:spacing w:line="240" w:lineRule="auto"/>
              <w:ind w:firstLine="0"/>
              <w:jc w:val="center"/>
              <w:rPr>
                <w:rFonts w:ascii="宋体" w:hAnsi="宋体" w:cs="宋体"/>
                <w:sz w:val="24"/>
                <w:szCs w:val="24"/>
              </w:rPr>
            </w:pPr>
            <w:r>
              <w:rPr>
                <w:rFonts w:ascii="宋体" w:hAnsi="宋体" w:cs="宋体"/>
                <w:sz w:val="24"/>
                <w:szCs w:val="24"/>
              </w:rPr>
              <w:t>201</w:t>
            </w:r>
            <w:r>
              <w:rPr>
                <w:rFonts w:ascii="宋体" w:hAnsi="宋体" w:cs="宋体" w:hint="eastAsia"/>
                <w:sz w:val="24"/>
                <w:szCs w:val="24"/>
              </w:rPr>
              <w:t>9</w:t>
            </w:r>
            <w:r>
              <w:rPr>
                <w:rFonts w:ascii="宋体" w:hAnsi="宋体" w:cs="宋体"/>
                <w:sz w:val="24"/>
                <w:szCs w:val="24"/>
              </w:rPr>
              <w:t>年</w:t>
            </w:r>
            <w:r>
              <w:rPr>
                <w:rFonts w:ascii="宋体" w:hAnsi="宋体" w:cs="宋体" w:hint="eastAsia"/>
                <w:sz w:val="24"/>
                <w:szCs w:val="24"/>
              </w:rPr>
              <w:t>10</w:t>
            </w:r>
            <w:r>
              <w:rPr>
                <w:rFonts w:ascii="宋体" w:hAnsi="宋体" w:cs="宋体"/>
                <w:sz w:val="24"/>
                <w:szCs w:val="24"/>
              </w:rPr>
              <w:t>月</w:t>
            </w:r>
            <w:r>
              <w:rPr>
                <w:rFonts w:ascii="宋体" w:hAnsi="宋体" w:cs="宋体"/>
                <w:sz w:val="24"/>
                <w:szCs w:val="24"/>
              </w:rPr>
              <w:t>X</w:t>
            </w:r>
            <w:r w:rsidR="005F35A5">
              <w:rPr>
                <w:rFonts w:ascii="宋体" w:hAnsi="宋体" w:cs="宋体" w:hint="eastAsia"/>
                <w:sz w:val="24"/>
                <w:szCs w:val="24"/>
              </w:rPr>
              <w:t>日</w:t>
            </w:r>
          </w:p>
        </w:tc>
      </w:tr>
    </w:tbl>
    <w:p w:rsidR="00527DF4" w:rsidRDefault="005F35A5">
      <w:pPr>
        <w:widowControl/>
        <w:ind w:firstLine="0"/>
        <w:jc w:val="left"/>
        <w:rPr>
          <w:rFonts w:cs="宋体"/>
        </w:rPr>
      </w:pPr>
      <w:r>
        <w:br w:type="page"/>
      </w:r>
      <w:r>
        <w:rPr>
          <w:rFonts w:hint="eastAsia"/>
          <w:bCs/>
          <w:sz w:val="30"/>
          <w:szCs w:val="30"/>
        </w:rPr>
        <w:lastRenderedPageBreak/>
        <w:t>附</w:t>
      </w:r>
      <w:r w:rsidR="00FE60F5">
        <w:rPr>
          <w:rFonts w:hint="eastAsia"/>
          <w:bCs/>
          <w:sz w:val="30"/>
          <w:szCs w:val="30"/>
        </w:rPr>
        <w:t>表</w:t>
      </w:r>
      <w:r>
        <w:rPr>
          <w:bCs/>
          <w:sz w:val="30"/>
          <w:szCs w:val="30"/>
        </w:rPr>
        <w:t>2</w:t>
      </w:r>
    </w:p>
    <w:p w:rsidR="00527DF4" w:rsidRDefault="005F35A5">
      <w:pPr>
        <w:jc w:val="center"/>
        <w:rPr>
          <w:rFonts w:ascii="黑体" w:eastAsia="黑体" w:hAnsi="黑体" w:cs="宋体"/>
          <w:sz w:val="40"/>
          <w:szCs w:val="40"/>
        </w:rPr>
      </w:pPr>
      <w:r>
        <w:rPr>
          <w:rFonts w:ascii="黑体" w:eastAsia="黑体" w:hAnsi="黑体" w:cs="宋体" w:hint="eastAsia"/>
          <w:sz w:val="40"/>
          <w:szCs w:val="40"/>
        </w:rPr>
        <w:t>定价合约集中定价交易时间表</w:t>
      </w:r>
    </w:p>
    <w:tbl>
      <w:tblPr>
        <w:tblW w:w="8108" w:type="dxa"/>
        <w:tblLayout w:type="fixed"/>
        <w:tblCellMar>
          <w:left w:w="15" w:type="dxa"/>
          <w:right w:w="15" w:type="dxa"/>
        </w:tblCellMar>
        <w:tblLook w:val="04A0"/>
      </w:tblPr>
      <w:tblGrid>
        <w:gridCol w:w="1898"/>
        <w:gridCol w:w="1641"/>
        <w:gridCol w:w="1568"/>
        <w:gridCol w:w="1409"/>
        <w:gridCol w:w="1592"/>
      </w:tblGrid>
      <w:tr w:rsidR="00527DF4">
        <w:trPr>
          <w:trHeight w:val="680"/>
        </w:trPr>
        <w:tc>
          <w:tcPr>
            <w:tcW w:w="1898" w:type="dxa"/>
            <w:vMerge w:val="restart"/>
            <w:tcBorders>
              <w:top w:val="single" w:sz="4" w:space="0" w:color="000000"/>
              <w:left w:val="single" w:sz="4" w:space="0" w:color="000000"/>
              <w:right w:val="single" w:sz="4" w:space="0" w:color="000000"/>
            </w:tcBorders>
            <w:vAlign w:val="center"/>
          </w:tcPr>
          <w:p w:rsidR="00527DF4" w:rsidRDefault="005F35A5" w:rsidP="007F2D18">
            <w:pPr>
              <w:widowControl/>
              <w:spacing w:line="240" w:lineRule="auto"/>
              <w:jc w:val="left"/>
              <w:rPr>
                <w:rFonts w:ascii="宋体" w:eastAsia="宋体" w:hAnsi="宋体" w:cs="宋体"/>
                <w:sz w:val="24"/>
                <w:szCs w:val="24"/>
              </w:rPr>
            </w:pPr>
            <w:r>
              <w:rPr>
                <w:rFonts w:ascii="宋体" w:hAnsi="宋体" w:cs="宋体" w:hint="eastAsia"/>
                <w:sz w:val="24"/>
                <w:szCs w:val="24"/>
              </w:rPr>
              <w:t>项目</w:t>
            </w:r>
          </w:p>
        </w:tc>
        <w:tc>
          <w:tcPr>
            <w:tcW w:w="3209" w:type="dxa"/>
            <w:gridSpan w:val="2"/>
            <w:tcBorders>
              <w:top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上海金（</w:t>
            </w:r>
            <w:r>
              <w:rPr>
                <w:rFonts w:ascii="宋体" w:hAnsi="宋体" w:cs="宋体" w:hint="eastAsia"/>
                <w:sz w:val="24"/>
                <w:szCs w:val="24"/>
              </w:rPr>
              <w:t>SHAU</w:t>
            </w:r>
            <w:r>
              <w:rPr>
                <w:rFonts w:ascii="宋体" w:hAnsi="宋体" w:cs="宋体" w:hint="eastAsia"/>
                <w:sz w:val="24"/>
                <w:szCs w:val="24"/>
              </w:rPr>
              <w:t>）</w:t>
            </w:r>
          </w:p>
        </w:tc>
        <w:tc>
          <w:tcPr>
            <w:tcW w:w="3001" w:type="dxa"/>
            <w:gridSpan w:val="2"/>
            <w:tcBorders>
              <w:top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上海银（</w:t>
            </w:r>
            <w:r>
              <w:rPr>
                <w:rFonts w:ascii="宋体" w:hAnsi="宋体" w:cs="宋体" w:hint="eastAsia"/>
                <w:sz w:val="24"/>
                <w:szCs w:val="24"/>
              </w:rPr>
              <w:t>SHAG</w:t>
            </w:r>
            <w:r>
              <w:rPr>
                <w:rFonts w:ascii="宋体" w:hAnsi="宋体" w:cs="宋体" w:hint="eastAsia"/>
                <w:sz w:val="24"/>
                <w:szCs w:val="24"/>
              </w:rPr>
              <w:t>）</w:t>
            </w:r>
          </w:p>
        </w:tc>
      </w:tr>
      <w:tr w:rsidR="00527DF4" w:rsidTr="007F2D18">
        <w:trPr>
          <w:trHeight w:val="680"/>
        </w:trPr>
        <w:tc>
          <w:tcPr>
            <w:tcW w:w="1898" w:type="dxa"/>
            <w:vMerge/>
            <w:tcBorders>
              <w:left w:val="single" w:sz="4" w:space="0" w:color="000000"/>
              <w:bottom w:val="single" w:sz="4" w:space="0" w:color="000000"/>
              <w:right w:val="single" w:sz="4" w:space="0" w:color="000000"/>
            </w:tcBorders>
            <w:vAlign w:val="center"/>
          </w:tcPr>
          <w:p w:rsidR="00527DF4" w:rsidRDefault="00527DF4">
            <w:pPr>
              <w:widowControl/>
              <w:spacing w:line="240" w:lineRule="auto"/>
              <w:jc w:val="center"/>
              <w:rPr>
                <w:rFonts w:ascii="宋体" w:hAnsi="宋体" w:cs="宋体"/>
                <w:sz w:val="24"/>
                <w:szCs w:val="24"/>
              </w:rPr>
            </w:pPr>
          </w:p>
        </w:tc>
        <w:tc>
          <w:tcPr>
            <w:tcW w:w="1641" w:type="dxa"/>
            <w:tcBorders>
              <w:bottom w:val="single" w:sz="4" w:space="0" w:color="000000"/>
              <w:right w:val="single" w:sz="4" w:space="0" w:color="auto"/>
            </w:tcBorders>
            <w:vAlign w:val="center"/>
          </w:tcPr>
          <w:p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早盘</w:t>
            </w:r>
          </w:p>
        </w:tc>
        <w:tc>
          <w:tcPr>
            <w:tcW w:w="1568" w:type="dxa"/>
            <w:tcBorders>
              <w:left w:val="single" w:sz="4" w:space="0" w:color="auto"/>
              <w:bottom w:val="single" w:sz="4" w:space="0" w:color="000000"/>
              <w:right w:val="single" w:sz="4" w:space="0" w:color="000000"/>
            </w:tcBorders>
            <w:vAlign w:val="center"/>
          </w:tcPr>
          <w:p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午盘</w:t>
            </w:r>
          </w:p>
        </w:tc>
        <w:tc>
          <w:tcPr>
            <w:tcW w:w="1409" w:type="dxa"/>
            <w:tcBorders>
              <w:bottom w:val="single" w:sz="4" w:space="0" w:color="000000"/>
              <w:right w:val="single" w:sz="4" w:space="0" w:color="auto"/>
            </w:tcBorders>
            <w:vAlign w:val="center"/>
          </w:tcPr>
          <w:p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早盘</w:t>
            </w:r>
          </w:p>
        </w:tc>
        <w:tc>
          <w:tcPr>
            <w:tcW w:w="1592" w:type="dxa"/>
            <w:tcBorders>
              <w:left w:val="single" w:sz="4" w:space="0" w:color="auto"/>
              <w:bottom w:val="single" w:sz="4" w:space="0" w:color="000000"/>
              <w:right w:val="single" w:sz="4" w:space="0" w:color="000000"/>
            </w:tcBorders>
            <w:vAlign w:val="center"/>
          </w:tcPr>
          <w:p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午盘</w:t>
            </w:r>
          </w:p>
        </w:tc>
      </w:tr>
      <w:tr w:rsidR="00527DF4" w:rsidTr="007F2D18">
        <w:trPr>
          <w:trHeight w:val="680"/>
        </w:trPr>
        <w:tc>
          <w:tcPr>
            <w:tcW w:w="1898"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参考价申报时间</w:t>
            </w:r>
          </w:p>
        </w:tc>
        <w:tc>
          <w:tcPr>
            <w:tcW w:w="1641" w:type="dxa"/>
            <w:tcBorders>
              <w:bottom w:val="single" w:sz="4" w:space="0" w:color="000000"/>
              <w:right w:val="single" w:sz="4" w:space="0" w:color="auto"/>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10:09-10:14</w:t>
            </w:r>
          </w:p>
        </w:tc>
        <w:tc>
          <w:tcPr>
            <w:tcW w:w="1568" w:type="dxa"/>
            <w:tcBorders>
              <w:left w:val="single" w:sz="4" w:space="0" w:color="auto"/>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14:55-1</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59</w:t>
            </w:r>
          </w:p>
        </w:tc>
        <w:tc>
          <w:tcPr>
            <w:tcW w:w="1409" w:type="dxa"/>
            <w:tcBorders>
              <w:bottom w:val="single" w:sz="4" w:space="0" w:color="000000"/>
              <w:right w:val="single" w:sz="4" w:space="0" w:color="auto"/>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9:39-9:44</w:t>
            </w:r>
          </w:p>
        </w:tc>
        <w:tc>
          <w:tcPr>
            <w:tcW w:w="1592" w:type="dxa"/>
            <w:tcBorders>
              <w:left w:val="single" w:sz="4" w:space="0" w:color="auto"/>
              <w:bottom w:val="single" w:sz="4" w:space="0" w:color="000000"/>
              <w:right w:val="single" w:sz="4" w:space="0" w:color="000000"/>
            </w:tcBorders>
            <w:vAlign w:val="center"/>
          </w:tcPr>
          <w:p w:rsidR="00527DF4" w:rsidRDefault="005F35A5">
            <w:pPr>
              <w:widowControl/>
              <w:spacing w:line="240" w:lineRule="auto"/>
              <w:ind w:firstLine="0"/>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w:t>
            </w:r>
            <w:r>
              <w:rPr>
                <w:rFonts w:ascii="宋体" w:eastAsia="宋体" w:hAnsi="宋体" w:cs="宋体" w:hint="eastAsia"/>
                <w:sz w:val="24"/>
                <w:szCs w:val="24"/>
              </w:rPr>
              <w:t>:</w:t>
            </w:r>
            <w:r>
              <w:rPr>
                <w:rFonts w:ascii="宋体" w:eastAsia="宋体" w:hAnsi="宋体" w:cs="宋体"/>
                <w:sz w:val="24"/>
                <w:szCs w:val="24"/>
              </w:rPr>
              <w:t>25-14:29</w:t>
            </w:r>
          </w:p>
        </w:tc>
      </w:tr>
      <w:tr w:rsidR="00527DF4" w:rsidTr="007F2D18">
        <w:trPr>
          <w:trHeight w:val="680"/>
        </w:trPr>
        <w:tc>
          <w:tcPr>
            <w:tcW w:w="1898" w:type="dxa"/>
            <w:tcBorders>
              <w:left w:val="single" w:sz="4" w:space="0" w:color="000000"/>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定价开始</w:t>
            </w:r>
            <w:r>
              <w:rPr>
                <w:rFonts w:ascii="宋体" w:hAnsi="宋体" w:cs="宋体"/>
                <w:sz w:val="24"/>
                <w:szCs w:val="24"/>
              </w:rPr>
              <w:t>时间</w:t>
            </w:r>
          </w:p>
        </w:tc>
        <w:tc>
          <w:tcPr>
            <w:tcW w:w="1641" w:type="dxa"/>
            <w:tcBorders>
              <w:bottom w:val="single" w:sz="4" w:space="0" w:color="000000"/>
              <w:right w:val="single" w:sz="4" w:space="0" w:color="auto"/>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w:t>
            </w:r>
            <w:r>
              <w:rPr>
                <w:rFonts w:ascii="宋体" w:hAnsi="宋体" w:cs="宋体"/>
                <w:sz w:val="24"/>
                <w:szCs w:val="24"/>
              </w:rPr>
              <w:t>:</w:t>
            </w:r>
            <w:r>
              <w:rPr>
                <w:rFonts w:ascii="宋体" w:hAnsi="宋体" w:cs="宋体" w:hint="eastAsia"/>
                <w:sz w:val="24"/>
                <w:szCs w:val="24"/>
              </w:rPr>
              <w:t>15</w:t>
            </w:r>
          </w:p>
        </w:tc>
        <w:tc>
          <w:tcPr>
            <w:tcW w:w="1568" w:type="dxa"/>
            <w:tcBorders>
              <w:left w:val="single" w:sz="4" w:space="0" w:color="auto"/>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15</w:t>
            </w:r>
            <w:r>
              <w:rPr>
                <w:rFonts w:ascii="宋体" w:hAnsi="宋体" w:cs="宋体"/>
                <w:sz w:val="24"/>
                <w:szCs w:val="24"/>
              </w:rPr>
              <w:t>:</w:t>
            </w:r>
            <w:r>
              <w:rPr>
                <w:rFonts w:ascii="宋体" w:hAnsi="宋体" w:cs="宋体" w:hint="eastAsia"/>
                <w:sz w:val="24"/>
                <w:szCs w:val="24"/>
              </w:rPr>
              <w:t>0</w:t>
            </w:r>
            <w:r>
              <w:rPr>
                <w:rFonts w:ascii="宋体" w:hAnsi="宋体" w:cs="宋体"/>
                <w:sz w:val="24"/>
                <w:szCs w:val="24"/>
              </w:rPr>
              <w:t>0</w:t>
            </w:r>
          </w:p>
        </w:tc>
        <w:tc>
          <w:tcPr>
            <w:tcW w:w="1409" w:type="dxa"/>
            <w:tcBorders>
              <w:bottom w:val="single" w:sz="4" w:space="0" w:color="000000"/>
              <w:right w:val="single" w:sz="4" w:space="0" w:color="auto"/>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09</w:t>
            </w:r>
            <w:r>
              <w:rPr>
                <w:rFonts w:ascii="宋体" w:hAnsi="宋体" w:cs="宋体"/>
                <w:sz w:val="24"/>
                <w:szCs w:val="24"/>
              </w:rPr>
              <w:t>:</w:t>
            </w:r>
            <w:r>
              <w:rPr>
                <w:rFonts w:ascii="宋体" w:hAnsi="宋体" w:cs="宋体" w:hint="eastAsia"/>
                <w:sz w:val="24"/>
                <w:szCs w:val="24"/>
              </w:rPr>
              <w:t>45</w:t>
            </w:r>
          </w:p>
        </w:tc>
        <w:tc>
          <w:tcPr>
            <w:tcW w:w="1592" w:type="dxa"/>
            <w:tcBorders>
              <w:left w:val="single" w:sz="4" w:space="0" w:color="auto"/>
              <w:bottom w:val="single" w:sz="4" w:space="0" w:color="000000"/>
              <w:right w:val="single" w:sz="4" w:space="0" w:color="000000"/>
            </w:tcBorders>
            <w:vAlign w:val="center"/>
          </w:tcPr>
          <w:p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14</w:t>
            </w:r>
            <w:r>
              <w:rPr>
                <w:rFonts w:ascii="宋体" w:hAnsi="宋体" w:cs="宋体" w:hint="eastAsia"/>
                <w:sz w:val="24"/>
                <w:szCs w:val="24"/>
              </w:rPr>
              <w:t>:</w:t>
            </w:r>
            <w:r>
              <w:rPr>
                <w:rFonts w:ascii="宋体" w:hAnsi="宋体" w:cs="宋体"/>
                <w:sz w:val="24"/>
                <w:szCs w:val="24"/>
              </w:rPr>
              <w:t>30</w:t>
            </w:r>
          </w:p>
        </w:tc>
      </w:tr>
    </w:tbl>
    <w:p w:rsidR="00527DF4" w:rsidRDefault="00527DF4"/>
    <w:p w:rsidR="00527DF4" w:rsidRDefault="005F35A5">
      <w:pPr>
        <w:widowControl/>
        <w:jc w:val="left"/>
      </w:pPr>
      <w:r>
        <w:br w:type="page"/>
      </w:r>
    </w:p>
    <w:p w:rsidR="00527DF4" w:rsidRPr="00FE60F5" w:rsidRDefault="005F35A5" w:rsidP="00FE60F5">
      <w:pPr>
        <w:widowControl/>
        <w:ind w:firstLine="0"/>
        <w:jc w:val="left"/>
        <w:rPr>
          <w:bCs/>
          <w:sz w:val="30"/>
          <w:szCs w:val="30"/>
        </w:rPr>
      </w:pPr>
      <w:r w:rsidRPr="00FE60F5">
        <w:rPr>
          <w:rFonts w:hint="eastAsia"/>
          <w:bCs/>
          <w:sz w:val="30"/>
          <w:szCs w:val="30"/>
        </w:rPr>
        <w:lastRenderedPageBreak/>
        <w:t>附</w:t>
      </w:r>
      <w:r w:rsidR="00FE60F5" w:rsidRPr="00FE60F5">
        <w:rPr>
          <w:rFonts w:hint="eastAsia"/>
          <w:bCs/>
          <w:sz w:val="30"/>
          <w:szCs w:val="30"/>
        </w:rPr>
        <w:t>表3</w:t>
      </w:r>
    </w:p>
    <w:p w:rsidR="00527DF4" w:rsidRDefault="005F35A5">
      <w:pPr>
        <w:jc w:val="center"/>
        <w:rPr>
          <w:rFonts w:ascii="黑体" w:eastAsia="黑体" w:hAnsi="黑体" w:cs="宋体"/>
          <w:sz w:val="40"/>
          <w:szCs w:val="40"/>
        </w:rPr>
      </w:pPr>
      <w:r>
        <w:rPr>
          <w:rFonts w:ascii="黑体" w:eastAsia="黑体" w:hAnsi="黑体" w:cs="宋体" w:hint="eastAsia"/>
          <w:sz w:val="40"/>
          <w:szCs w:val="40"/>
        </w:rPr>
        <w:t>一、上海金定价合约（</w:t>
      </w:r>
      <w:r>
        <w:rPr>
          <w:rFonts w:ascii="黑体" w:eastAsia="黑体" w:hAnsi="黑体" w:cs="宋体"/>
          <w:sz w:val="40"/>
          <w:szCs w:val="40"/>
        </w:rPr>
        <w:t>SHAU</w:t>
      </w:r>
      <w:r>
        <w:rPr>
          <w:rFonts w:ascii="黑体" w:eastAsia="黑体" w:hAnsi="黑体" w:cs="宋体" w:hint="eastAsia"/>
          <w:sz w:val="40"/>
          <w:szCs w:val="40"/>
        </w:rPr>
        <w:t>）</w:t>
      </w:r>
    </w:p>
    <w:p w:rsidR="00527DF4" w:rsidRDefault="005F35A5">
      <w:pPr>
        <w:jc w:val="center"/>
        <w:rPr>
          <w:rFonts w:ascii="黑体" w:eastAsia="黑体" w:hAnsi="黑体" w:cs="宋体"/>
          <w:sz w:val="40"/>
          <w:szCs w:val="40"/>
        </w:rPr>
      </w:pPr>
      <w:r>
        <w:rPr>
          <w:rFonts w:ascii="黑体" w:eastAsia="黑体" w:hAnsi="黑体" w:cs="宋体" w:hint="eastAsia"/>
          <w:sz w:val="40"/>
          <w:szCs w:val="40"/>
        </w:rPr>
        <w:t>申报量差与下轮调价步长关系表</w:t>
      </w:r>
    </w:p>
    <w:tbl>
      <w:tblPr>
        <w:tblW w:w="9000" w:type="dxa"/>
        <w:tblLayout w:type="fixed"/>
        <w:tblCellMar>
          <w:top w:w="15" w:type="dxa"/>
          <w:left w:w="15" w:type="dxa"/>
          <w:bottom w:w="15" w:type="dxa"/>
          <w:right w:w="15" w:type="dxa"/>
        </w:tblCellMar>
        <w:tblLook w:val="04A0"/>
      </w:tblPr>
      <w:tblGrid>
        <w:gridCol w:w="3114"/>
        <w:gridCol w:w="2036"/>
        <w:gridCol w:w="3850"/>
      </w:tblGrid>
      <w:tr w:rsidR="00527DF4">
        <w:trPr>
          <w:trHeight w:val="540"/>
        </w:trPr>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sz w:val="24"/>
                <w:szCs w:val="24"/>
              </w:rPr>
              <w:t>买、卖申报量对比情况与上轮保持一致时</w:t>
            </w:r>
            <w:r>
              <w:rPr>
                <w:rFonts w:asciiTheme="minorEastAsia" w:eastAsiaTheme="minorEastAsia" w:hAnsiTheme="minorEastAsia" w:cstheme="minorEastAsia" w:hint="eastAsia"/>
                <w:color w:val="000000"/>
                <w:sz w:val="24"/>
                <w:szCs w:val="24"/>
                <w:lang/>
              </w:rPr>
              <w:t>本轮</w:t>
            </w:r>
          </w:p>
          <w:p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rPr>
              <w:t>量差与下轮调价步长关系</w:t>
            </w:r>
          </w:p>
        </w:tc>
        <w:tc>
          <w:tcPr>
            <w:tcW w:w="3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买、卖申报量对比情况与上轮相反时，</w:t>
            </w:r>
            <w:r>
              <w:rPr>
                <w:rFonts w:asciiTheme="minorEastAsia" w:eastAsiaTheme="minorEastAsia" w:hAnsiTheme="minorEastAsia" w:cstheme="minorEastAsia" w:hint="eastAsia"/>
                <w:color w:val="000000"/>
                <w:sz w:val="24"/>
                <w:szCs w:val="24"/>
                <w:lang/>
              </w:rPr>
              <w:t>本轮量差与下轮调价步长关系</w:t>
            </w:r>
          </w:p>
        </w:tc>
      </w:tr>
      <w:tr w:rsidR="00527DF4">
        <w:trPr>
          <w:trHeight w:val="435"/>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rPr>
              <w:t>市场申报量差（千克）</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rPr>
              <w:t>调价幅度</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27DF4">
            <w:pPr>
              <w:jc w:val="center"/>
              <w:rPr>
                <w:rFonts w:asciiTheme="minorEastAsia" w:eastAsiaTheme="minorEastAsia" w:hAnsiTheme="minorEastAsia" w:cstheme="minorEastAsia"/>
                <w:color w:val="000000"/>
                <w:sz w:val="24"/>
                <w:szCs w:val="24"/>
              </w:rPr>
            </w:pPr>
          </w:p>
        </w:tc>
      </w:tr>
      <w:tr w:rsidR="00527DF4">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rPr>
              <w:t>量差</w:t>
            </w:r>
            <w:r>
              <w:rPr>
                <w:rStyle w:val="font01"/>
                <w:rFonts w:asciiTheme="minorEastAsia" w:eastAsiaTheme="minorEastAsia" w:hAnsiTheme="minorEastAsia" w:cstheme="minorEastAsia" w:hint="default"/>
                <w:lang/>
              </w:rPr>
              <w:t>≤400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rPr>
              <w:t>成交</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rPr>
              <w:t>——</w:t>
            </w:r>
          </w:p>
        </w:tc>
      </w:tr>
      <w:tr w:rsidR="00527DF4">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rPr>
              <w:t>400＜量差＜3,500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rPr>
              <w:t>0.</w:t>
            </w:r>
            <w:r>
              <w:rPr>
                <w:rStyle w:val="font01"/>
                <w:rFonts w:asciiTheme="minorEastAsia" w:eastAsiaTheme="minorEastAsia" w:hAnsiTheme="minorEastAsia" w:cstheme="minorEastAsia" w:hint="default"/>
                <w:lang/>
              </w:rPr>
              <w:t>1元/克</w:t>
            </w:r>
          </w:p>
        </w:tc>
        <w:tc>
          <w:tcPr>
            <w:tcW w:w="3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rPr>
              <w:t>回撤本轮调价步长的</w:t>
            </w:r>
            <w:r>
              <w:rPr>
                <w:rFonts w:asciiTheme="minorEastAsia" w:eastAsiaTheme="minorEastAsia" w:hAnsiTheme="minorEastAsia" w:cstheme="minorEastAsia"/>
                <w:color w:val="000000"/>
                <w:sz w:val="24"/>
                <w:szCs w:val="24"/>
                <w:lang/>
              </w:rPr>
              <w:t>50%</w:t>
            </w:r>
          </w:p>
        </w:tc>
      </w:tr>
      <w:tr w:rsidR="00527DF4">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rPr>
              <w:t>3,500≤量差＜6,000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rPr>
              <w:t>0</w:t>
            </w:r>
            <w:r>
              <w:rPr>
                <w:rStyle w:val="font01"/>
                <w:rFonts w:asciiTheme="minorEastAsia" w:eastAsiaTheme="minorEastAsia" w:hAnsiTheme="minorEastAsia" w:cstheme="minorEastAsia" w:hint="default"/>
                <w:lang/>
              </w:rPr>
              <w:t>.2元/克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27DF4">
            <w:pPr>
              <w:jc w:val="center"/>
              <w:rPr>
                <w:rFonts w:asciiTheme="minorEastAsia" w:eastAsiaTheme="minorEastAsia" w:hAnsiTheme="minorEastAsia" w:cstheme="minorEastAsia"/>
                <w:color w:val="000000"/>
                <w:sz w:val="24"/>
                <w:szCs w:val="24"/>
              </w:rPr>
            </w:pPr>
          </w:p>
        </w:tc>
      </w:tr>
      <w:tr w:rsidR="00527DF4">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rPr>
              <w:t>6,000≤量差＜10,000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rPr>
              <w:t>0.</w:t>
            </w:r>
            <w:r>
              <w:rPr>
                <w:rStyle w:val="font01"/>
                <w:rFonts w:asciiTheme="minorEastAsia" w:eastAsiaTheme="minorEastAsia" w:hAnsiTheme="minorEastAsia" w:cstheme="minorEastAsia" w:hint="default"/>
                <w:lang/>
              </w:rPr>
              <w:t>3元/克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27DF4">
            <w:pPr>
              <w:jc w:val="center"/>
              <w:rPr>
                <w:rFonts w:asciiTheme="minorEastAsia" w:eastAsiaTheme="minorEastAsia" w:hAnsiTheme="minorEastAsia" w:cstheme="minorEastAsia"/>
                <w:color w:val="000000"/>
                <w:sz w:val="24"/>
                <w:szCs w:val="24"/>
              </w:rPr>
            </w:pPr>
          </w:p>
        </w:tc>
      </w:tr>
      <w:tr w:rsidR="00527DF4">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rPr>
              <w:t>量差≥</w:t>
            </w:r>
            <w:r>
              <w:rPr>
                <w:rFonts w:asciiTheme="minorEastAsia" w:eastAsiaTheme="minorEastAsia" w:hAnsiTheme="minorEastAsia" w:cstheme="minorEastAsia"/>
                <w:color w:val="000000"/>
                <w:sz w:val="24"/>
                <w:szCs w:val="24"/>
                <w:lang/>
              </w:rPr>
              <w:t>10,000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rPr>
              <w:t>0.4元/</w:t>
            </w:r>
            <w:r>
              <w:rPr>
                <w:rStyle w:val="font01"/>
                <w:rFonts w:asciiTheme="minorEastAsia" w:eastAsiaTheme="minorEastAsia" w:hAnsiTheme="minorEastAsia" w:cstheme="minorEastAsia" w:hint="default"/>
                <w:lang/>
              </w:rPr>
              <w:t>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27DF4">
            <w:pPr>
              <w:jc w:val="center"/>
              <w:rPr>
                <w:rFonts w:asciiTheme="minorEastAsia" w:eastAsiaTheme="minorEastAsia" w:hAnsiTheme="minorEastAsia" w:cstheme="minorEastAsia"/>
                <w:color w:val="000000"/>
                <w:sz w:val="24"/>
                <w:szCs w:val="24"/>
              </w:rPr>
            </w:pPr>
          </w:p>
        </w:tc>
      </w:tr>
    </w:tbl>
    <w:p w:rsidR="00527DF4" w:rsidRDefault="00527DF4">
      <w:pPr>
        <w:jc w:val="center"/>
        <w:rPr>
          <w:rFonts w:ascii="黑体" w:eastAsia="黑体" w:hAnsi="黑体" w:cs="黑体"/>
          <w:sz w:val="28"/>
          <w:szCs w:val="28"/>
        </w:rPr>
      </w:pPr>
    </w:p>
    <w:p w:rsidR="00527DF4" w:rsidRDefault="005F35A5">
      <w:pPr>
        <w:jc w:val="center"/>
        <w:rPr>
          <w:rFonts w:ascii="黑体" w:eastAsia="黑体" w:hAnsi="黑体" w:cs="宋体"/>
          <w:sz w:val="40"/>
          <w:szCs w:val="40"/>
        </w:rPr>
      </w:pPr>
      <w:r>
        <w:rPr>
          <w:rFonts w:ascii="黑体" w:eastAsia="黑体" w:hAnsi="黑体" w:cs="宋体" w:hint="eastAsia"/>
          <w:sz w:val="40"/>
          <w:szCs w:val="40"/>
        </w:rPr>
        <w:t>二、上海银定价合约（</w:t>
      </w:r>
      <w:r>
        <w:rPr>
          <w:rFonts w:ascii="黑体" w:eastAsia="黑体" w:hAnsi="黑体" w:cs="宋体"/>
          <w:sz w:val="40"/>
          <w:szCs w:val="40"/>
        </w:rPr>
        <w:t>SHAG</w:t>
      </w:r>
      <w:r>
        <w:rPr>
          <w:rFonts w:ascii="黑体" w:eastAsia="黑体" w:hAnsi="黑体" w:cs="宋体" w:hint="eastAsia"/>
          <w:sz w:val="40"/>
          <w:szCs w:val="40"/>
        </w:rPr>
        <w:t>）</w:t>
      </w:r>
    </w:p>
    <w:p w:rsidR="00527DF4" w:rsidRDefault="005F35A5">
      <w:pPr>
        <w:jc w:val="center"/>
        <w:rPr>
          <w:rFonts w:ascii="黑体" w:eastAsia="黑体" w:hAnsi="黑体" w:cs="宋体"/>
          <w:sz w:val="40"/>
          <w:szCs w:val="40"/>
        </w:rPr>
      </w:pPr>
      <w:r>
        <w:rPr>
          <w:rFonts w:ascii="黑体" w:eastAsia="黑体" w:hAnsi="黑体" w:cs="宋体" w:hint="eastAsia"/>
          <w:sz w:val="40"/>
          <w:szCs w:val="40"/>
        </w:rPr>
        <w:t>申报量差与下轮调价步长关系表</w:t>
      </w:r>
    </w:p>
    <w:tbl>
      <w:tblPr>
        <w:tblW w:w="9000" w:type="dxa"/>
        <w:tblLayout w:type="fixed"/>
        <w:tblCellMar>
          <w:top w:w="15" w:type="dxa"/>
          <w:left w:w="15" w:type="dxa"/>
          <w:bottom w:w="15" w:type="dxa"/>
          <w:right w:w="15" w:type="dxa"/>
        </w:tblCellMar>
        <w:tblLook w:val="04A0"/>
      </w:tblPr>
      <w:tblGrid>
        <w:gridCol w:w="3050"/>
        <w:gridCol w:w="2025"/>
        <w:gridCol w:w="3925"/>
      </w:tblGrid>
      <w:tr w:rsidR="00527DF4">
        <w:trPr>
          <w:trHeight w:val="540"/>
        </w:trPr>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买、卖申报量对比情况与上轮保持一致时本轮量差与下轮调价步长关系</w:t>
            </w:r>
          </w:p>
        </w:tc>
        <w:tc>
          <w:tcPr>
            <w:tcW w:w="3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买、卖申报量对比情况与上轮相反时，本轮量差与下轮调价步长关系</w:t>
            </w:r>
          </w:p>
        </w:tc>
      </w:tr>
      <w:tr w:rsidR="00527DF4">
        <w:trPr>
          <w:trHeight w:val="435"/>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市场申报量差（千克）</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调价幅度</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27DF4">
            <w:pPr>
              <w:spacing w:line="240" w:lineRule="auto"/>
              <w:ind w:firstLine="0"/>
              <w:jc w:val="center"/>
              <w:rPr>
                <w:rFonts w:asciiTheme="minorEastAsia" w:eastAsiaTheme="minorEastAsia" w:hAnsiTheme="minorEastAsia" w:cstheme="minorEastAsia"/>
                <w:sz w:val="24"/>
                <w:szCs w:val="24"/>
              </w:rPr>
            </w:pPr>
          </w:p>
        </w:tc>
      </w:tr>
      <w:tr w:rsidR="00527DF4">
        <w:trPr>
          <w:trHeight w:val="585"/>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量差≤9000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成交</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r>
      <w:tr w:rsidR="00527DF4">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9000＜量差＜45000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color w:val="000000"/>
                <w:sz w:val="24"/>
                <w:szCs w:val="24"/>
                <w:lang/>
              </w:rPr>
              <w:t>2</w:t>
            </w:r>
            <w:r>
              <w:rPr>
                <w:rFonts w:asciiTheme="minorEastAsia" w:eastAsiaTheme="minorEastAsia" w:hAnsiTheme="minorEastAsia" w:cstheme="minorEastAsia" w:hint="eastAsia"/>
                <w:color w:val="000000"/>
                <w:sz w:val="24"/>
                <w:szCs w:val="24"/>
                <w:lang/>
              </w:rPr>
              <w:t>元/千克</w:t>
            </w:r>
          </w:p>
        </w:tc>
        <w:tc>
          <w:tcPr>
            <w:tcW w:w="3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回撤本轮调价步长的50%</w:t>
            </w:r>
          </w:p>
        </w:tc>
      </w:tr>
      <w:tr w:rsidR="00527DF4">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45000≤量差＜75000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color w:val="000000"/>
                <w:sz w:val="24"/>
                <w:szCs w:val="24"/>
                <w:lang/>
              </w:rPr>
              <w:t>4</w:t>
            </w:r>
            <w:r>
              <w:rPr>
                <w:rFonts w:asciiTheme="minorEastAsia" w:eastAsiaTheme="minorEastAsia" w:hAnsiTheme="minorEastAsia" w:cstheme="minorEastAsia" w:hint="eastAsia"/>
                <w:color w:val="000000"/>
                <w:sz w:val="24"/>
                <w:szCs w:val="24"/>
                <w:lang/>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27DF4">
            <w:pPr>
              <w:spacing w:line="240" w:lineRule="auto"/>
              <w:ind w:firstLine="0"/>
              <w:jc w:val="center"/>
              <w:rPr>
                <w:rFonts w:ascii="宋体" w:eastAsia="宋体" w:hAnsi="宋体" w:cs="宋体"/>
                <w:color w:val="000000"/>
                <w:sz w:val="24"/>
                <w:szCs w:val="24"/>
              </w:rPr>
            </w:pPr>
          </w:p>
        </w:tc>
      </w:tr>
      <w:tr w:rsidR="00527DF4">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75000≤量差＜12,0000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color w:val="000000"/>
                <w:sz w:val="24"/>
                <w:szCs w:val="24"/>
                <w:lang/>
              </w:rPr>
              <w:t>8</w:t>
            </w:r>
            <w:r>
              <w:rPr>
                <w:rFonts w:asciiTheme="minorEastAsia" w:eastAsiaTheme="minorEastAsia" w:hAnsiTheme="minorEastAsia" w:cstheme="minorEastAsia" w:hint="eastAsia"/>
                <w:color w:val="000000"/>
                <w:sz w:val="24"/>
                <w:szCs w:val="24"/>
                <w:lang/>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27DF4">
            <w:pPr>
              <w:spacing w:line="240" w:lineRule="auto"/>
              <w:ind w:firstLine="0"/>
              <w:jc w:val="center"/>
              <w:rPr>
                <w:rFonts w:ascii="宋体" w:eastAsia="宋体" w:hAnsi="宋体" w:cs="宋体"/>
                <w:color w:val="000000"/>
                <w:sz w:val="24"/>
                <w:szCs w:val="24"/>
              </w:rPr>
            </w:pPr>
          </w:p>
        </w:tc>
      </w:tr>
      <w:tr w:rsidR="00527DF4">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color w:val="000000"/>
                <w:sz w:val="24"/>
                <w:szCs w:val="24"/>
                <w:lang/>
              </w:rPr>
              <w:t>量差≥12,0000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color w:val="000000"/>
                <w:sz w:val="24"/>
                <w:szCs w:val="24"/>
                <w:lang/>
              </w:rPr>
              <w:t>16</w:t>
            </w:r>
            <w:r>
              <w:rPr>
                <w:rFonts w:asciiTheme="minorEastAsia" w:eastAsiaTheme="minorEastAsia" w:hAnsiTheme="minorEastAsia" w:cstheme="minorEastAsia" w:hint="eastAsia"/>
                <w:color w:val="000000"/>
                <w:sz w:val="24"/>
                <w:szCs w:val="24"/>
                <w:lang/>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DF4" w:rsidRDefault="00527DF4">
            <w:pPr>
              <w:spacing w:line="240" w:lineRule="auto"/>
              <w:ind w:firstLine="0"/>
              <w:jc w:val="center"/>
              <w:rPr>
                <w:rFonts w:ascii="宋体" w:eastAsia="宋体" w:hAnsi="宋体" w:cs="宋体"/>
                <w:color w:val="000000"/>
                <w:sz w:val="24"/>
                <w:szCs w:val="24"/>
              </w:rPr>
            </w:pPr>
          </w:p>
        </w:tc>
      </w:tr>
    </w:tbl>
    <w:p w:rsidR="00527DF4" w:rsidRDefault="00527DF4">
      <w:pPr>
        <w:rPr>
          <w:rFonts w:eastAsia="黑体" w:cs="仿宋"/>
          <w:sz w:val="28"/>
          <w:szCs w:val="28"/>
          <w:shd w:val="clear" w:color="FFFFFF" w:fill="D9D9D9"/>
        </w:rPr>
      </w:pPr>
    </w:p>
    <w:p w:rsidR="00527DF4" w:rsidRDefault="00527DF4"/>
    <w:sectPr w:rsidR="00527DF4" w:rsidSect="00076BF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176" w:rsidRDefault="00AD0176">
      <w:pPr>
        <w:spacing w:line="240" w:lineRule="auto"/>
      </w:pPr>
      <w:r>
        <w:separator/>
      </w:r>
    </w:p>
  </w:endnote>
  <w:endnote w:type="continuationSeparator" w:id="1">
    <w:p w:rsidR="00AD0176" w:rsidRDefault="00AD01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099509"/>
      <w:docPartObj>
        <w:docPartGallery w:val="AutoText"/>
      </w:docPartObj>
    </w:sdtPr>
    <w:sdtContent>
      <w:p w:rsidR="00527DF4" w:rsidRDefault="00076BF9">
        <w:pPr>
          <w:pStyle w:val="a4"/>
          <w:jc w:val="center"/>
        </w:pPr>
        <w:r>
          <w:fldChar w:fldCharType="begin"/>
        </w:r>
        <w:r w:rsidR="005F35A5">
          <w:instrText>PAGE   \* MERGEFORMAT</w:instrText>
        </w:r>
        <w:r>
          <w:fldChar w:fldCharType="separate"/>
        </w:r>
        <w:r w:rsidR="00A835A1" w:rsidRPr="00A835A1">
          <w:rPr>
            <w:noProof/>
            <w:lang w:val="zh-CN"/>
          </w:rPr>
          <w:t>1</w:t>
        </w:r>
        <w:r>
          <w:fldChar w:fldCharType="end"/>
        </w:r>
      </w:p>
    </w:sdtContent>
  </w:sdt>
  <w:p w:rsidR="00527DF4" w:rsidRDefault="00527D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176" w:rsidRDefault="00AD0176">
      <w:pPr>
        <w:spacing w:line="240" w:lineRule="auto"/>
      </w:pPr>
      <w:r>
        <w:separator/>
      </w:r>
    </w:p>
  </w:footnote>
  <w:footnote w:type="continuationSeparator" w:id="1">
    <w:p w:rsidR="00AD0176" w:rsidRDefault="00AD017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7C6"/>
    <w:rsid w:val="0005768C"/>
    <w:rsid w:val="0006474F"/>
    <w:rsid w:val="00076BF9"/>
    <w:rsid w:val="000B68FF"/>
    <w:rsid w:val="00102EA7"/>
    <w:rsid w:val="00106E65"/>
    <w:rsid w:val="001B29E9"/>
    <w:rsid w:val="003516F1"/>
    <w:rsid w:val="00372201"/>
    <w:rsid w:val="00444171"/>
    <w:rsid w:val="0047062C"/>
    <w:rsid w:val="00506679"/>
    <w:rsid w:val="00525C24"/>
    <w:rsid w:val="00527DF4"/>
    <w:rsid w:val="005B73F6"/>
    <w:rsid w:val="005C3DF1"/>
    <w:rsid w:val="005F35A5"/>
    <w:rsid w:val="00613CC6"/>
    <w:rsid w:val="00706A8F"/>
    <w:rsid w:val="00706D02"/>
    <w:rsid w:val="007207C6"/>
    <w:rsid w:val="007F2D18"/>
    <w:rsid w:val="008121E8"/>
    <w:rsid w:val="00886637"/>
    <w:rsid w:val="00912D57"/>
    <w:rsid w:val="00960582"/>
    <w:rsid w:val="00A335F5"/>
    <w:rsid w:val="00A3645C"/>
    <w:rsid w:val="00A835A1"/>
    <w:rsid w:val="00AD0176"/>
    <w:rsid w:val="00B87753"/>
    <w:rsid w:val="00C16734"/>
    <w:rsid w:val="00C273C2"/>
    <w:rsid w:val="00C8773F"/>
    <w:rsid w:val="00EB4FE5"/>
    <w:rsid w:val="00F1470C"/>
    <w:rsid w:val="00FE60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F9"/>
    <w:pPr>
      <w:widowControl w:val="0"/>
      <w:autoSpaceDE w:val="0"/>
      <w:autoSpaceDN w:val="0"/>
      <w:snapToGrid w:val="0"/>
      <w:spacing w:line="560" w:lineRule="atLeast"/>
      <w:ind w:firstLine="624"/>
      <w:jc w:val="both"/>
    </w:pPr>
    <w:rPr>
      <w:rFonts w:ascii="仿宋" w:eastAsia="仿宋" w:hAnsi="仿宋" w:cs="Times New Roman"/>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6BF9"/>
    <w:pPr>
      <w:spacing w:line="240" w:lineRule="auto"/>
    </w:pPr>
    <w:rPr>
      <w:sz w:val="18"/>
      <w:szCs w:val="18"/>
    </w:rPr>
  </w:style>
  <w:style w:type="paragraph" w:styleId="a4">
    <w:name w:val="footer"/>
    <w:basedOn w:val="a"/>
    <w:link w:val="Char0"/>
    <w:uiPriority w:val="99"/>
    <w:unhideWhenUsed/>
    <w:rsid w:val="00076BF9"/>
    <w:pPr>
      <w:tabs>
        <w:tab w:val="center" w:pos="4153"/>
        <w:tab w:val="right" w:pos="8306"/>
      </w:tabs>
      <w:spacing w:line="240" w:lineRule="atLeast"/>
      <w:jc w:val="left"/>
    </w:pPr>
    <w:rPr>
      <w:sz w:val="18"/>
      <w:szCs w:val="18"/>
    </w:rPr>
  </w:style>
  <w:style w:type="paragraph" w:styleId="a5">
    <w:name w:val="header"/>
    <w:basedOn w:val="a"/>
    <w:link w:val="Char1"/>
    <w:uiPriority w:val="99"/>
    <w:unhideWhenUsed/>
    <w:rsid w:val="00076BF9"/>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39"/>
    <w:rsid w:val="0007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076BF9"/>
    <w:rPr>
      <w:rFonts w:ascii="宋体" w:eastAsia="宋体" w:hAnsi="宋体" w:cs="宋体" w:hint="eastAsia"/>
      <w:color w:val="000000"/>
      <w:sz w:val="24"/>
      <w:szCs w:val="24"/>
      <w:u w:val="none"/>
    </w:rPr>
  </w:style>
  <w:style w:type="character" w:customStyle="1" w:styleId="Char1">
    <w:name w:val="页眉 Char"/>
    <w:basedOn w:val="a0"/>
    <w:link w:val="a5"/>
    <w:uiPriority w:val="99"/>
    <w:rsid w:val="00076BF9"/>
    <w:rPr>
      <w:rFonts w:ascii="仿宋" w:eastAsia="仿宋" w:hAnsi="仿宋" w:cs="Times New Roman"/>
      <w:snapToGrid w:val="0"/>
      <w:kern w:val="0"/>
      <w:sz w:val="18"/>
      <w:szCs w:val="18"/>
    </w:rPr>
  </w:style>
  <w:style w:type="character" w:customStyle="1" w:styleId="Char0">
    <w:name w:val="页脚 Char"/>
    <w:basedOn w:val="a0"/>
    <w:link w:val="a4"/>
    <w:uiPriority w:val="99"/>
    <w:rsid w:val="00076BF9"/>
    <w:rPr>
      <w:rFonts w:ascii="仿宋" w:eastAsia="仿宋" w:hAnsi="仿宋" w:cs="Times New Roman"/>
      <w:snapToGrid w:val="0"/>
      <w:kern w:val="0"/>
      <w:sz w:val="18"/>
      <w:szCs w:val="18"/>
    </w:rPr>
  </w:style>
  <w:style w:type="character" w:customStyle="1" w:styleId="Char">
    <w:name w:val="批注框文本 Char"/>
    <w:basedOn w:val="a0"/>
    <w:link w:val="a3"/>
    <w:uiPriority w:val="99"/>
    <w:semiHidden/>
    <w:rsid w:val="00076BF9"/>
    <w:rPr>
      <w:rFonts w:ascii="仿宋" w:eastAsia="仿宋" w:hAnsi="仿宋"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1093</Words>
  <Characters>6233</Characters>
  <Application>Microsoft Office Word</Application>
  <DocSecurity>0</DocSecurity>
  <Lines>51</Lines>
  <Paragraphs>14</Paragraphs>
  <ScaleCrop>false</ScaleCrop>
  <Company>Microsoft</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夏方杰</dc:creator>
  <cp:lastModifiedBy>wangzj</cp:lastModifiedBy>
  <cp:revision>2</cp:revision>
  <cp:lastPrinted>2019-09-05T02:46:00Z</cp:lastPrinted>
  <dcterms:created xsi:type="dcterms:W3CDTF">2019-09-05T06:37:00Z</dcterms:created>
  <dcterms:modified xsi:type="dcterms:W3CDTF">2019-09-05T06:37:00Z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